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05B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宋体"/>
          <w:b w:val="0"/>
          <w:bCs w:val="0"/>
          <w:kern w:val="2"/>
          <w:sz w:val="44"/>
          <w:szCs w:val="44"/>
          <w:lang w:val="en-US" w:eastAsia="zh-CN" w:bidi="ar-SA"/>
        </w:rPr>
      </w:pPr>
      <w:r>
        <w:rPr>
          <w:rFonts w:hint="eastAsia" w:ascii="方正小标宋简体" w:hAnsi="宋体" w:eastAsia="方正小标宋简体" w:cs="宋体"/>
          <w:b w:val="0"/>
          <w:bCs w:val="0"/>
          <w:kern w:val="2"/>
          <w:sz w:val="44"/>
          <w:szCs w:val="44"/>
          <w:lang w:val="en-US" w:eastAsia="zh-CN" w:bidi="ar-SA"/>
        </w:rPr>
        <w:t>关于2025年度呼玛县消防安全重点单位</w:t>
      </w:r>
    </w:p>
    <w:p w14:paraId="5F58BF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color w:val="auto"/>
          <w:spacing w:val="0"/>
          <w:sz w:val="25"/>
          <w:szCs w:val="25"/>
        </w:rPr>
      </w:pPr>
      <w:r>
        <w:rPr>
          <w:rFonts w:hint="eastAsia" w:ascii="方正小标宋简体" w:hAnsi="宋体" w:eastAsia="方正小标宋简体" w:cs="宋体"/>
          <w:b w:val="0"/>
          <w:bCs w:val="0"/>
          <w:kern w:val="2"/>
          <w:sz w:val="44"/>
          <w:szCs w:val="44"/>
          <w:lang w:val="en-US" w:eastAsia="zh-CN" w:bidi="ar-SA"/>
        </w:rPr>
        <w:t>调整情况的公示</w:t>
      </w:r>
      <w:r>
        <w:rPr>
          <w:rFonts w:hint="eastAsia" w:ascii="微软雅黑" w:hAnsi="微软雅黑" w:eastAsia="微软雅黑" w:cs="微软雅黑"/>
          <w:i w:val="0"/>
          <w:iCs w:val="0"/>
          <w:caps w:val="0"/>
          <w:color w:val="auto"/>
          <w:spacing w:val="0"/>
          <w:kern w:val="0"/>
          <w:sz w:val="27"/>
          <w:szCs w:val="27"/>
          <w:u w:val="none"/>
          <w:lang w:val="en-US" w:eastAsia="zh-CN" w:bidi="ar"/>
        </w:rPr>
        <w:fldChar w:fldCharType="begin"/>
      </w:r>
      <w:r>
        <w:rPr>
          <w:rFonts w:hint="eastAsia" w:ascii="微软雅黑" w:hAnsi="微软雅黑" w:eastAsia="微软雅黑" w:cs="微软雅黑"/>
          <w:i w:val="0"/>
          <w:iCs w:val="0"/>
          <w:caps w:val="0"/>
          <w:color w:val="auto"/>
          <w:spacing w:val="0"/>
          <w:kern w:val="0"/>
          <w:sz w:val="27"/>
          <w:szCs w:val="27"/>
          <w:u w:val="none"/>
          <w:lang w:val="en-US" w:eastAsia="zh-CN" w:bidi="ar"/>
        </w:rPr>
        <w:instrText xml:space="preserve"> HYPERLINK "http://www.nanhu.gov.cn/art/2023/1/11/art_1229707272_5053350.html?share_token=132bd350-624f-40a5-af61-eb1b0409aef6" \o "分享到QQ空间" </w:instrText>
      </w:r>
      <w:r>
        <w:rPr>
          <w:rFonts w:hint="eastAsia" w:ascii="微软雅黑" w:hAnsi="微软雅黑" w:eastAsia="微软雅黑" w:cs="微软雅黑"/>
          <w:i w:val="0"/>
          <w:iCs w:val="0"/>
          <w:caps w:val="0"/>
          <w:color w:val="auto"/>
          <w:spacing w:val="0"/>
          <w:kern w:val="0"/>
          <w:sz w:val="27"/>
          <w:szCs w:val="27"/>
          <w:u w:val="none"/>
          <w:lang w:val="en-US" w:eastAsia="zh-CN" w:bidi="ar"/>
        </w:rPr>
        <w:fldChar w:fldCharType="separate"/>
      </w:r>
      <w:r>
        <w:rPr>
          <w:rFonts w:hint="eastAsia" w:ascii="微软雅黑" w:hAnsi="微软雅黑" w:eastAsia="微软雅黑" w:cs="微软雅黑"/>
          <w:i w:val="0"/>
          <w:iCs w:val="0"/>
          <w:caps w:val="0"/>
          <w:color w:val="auto"/>
          <w:spacing w:val="0"/>
          <w:kern w:val="0"/>
          <w:sz w:val="27"/>
          <w:szCs w:val="27"/>
          <w:u w:val="none"/>
          <w:lang w:val="en-US" w:eastAsia="zh-CN" w:bidi="ar"/>
        </w:rPr>
        <w:fldChar w:fldCharType="end"/>
      </w:r>
      <w:r>
        <w:rPr>
          <w:rFonts w:hint="eastAsia" w:ascii="微软雅黑" w:hAnsi="微软雅黑" w:eastAsia="微软雅黑" w:cs="微软雅黑"/>
          <w:i w:val="0"/>
          <w:iCs w:val="0"/>
          <w:caps w:val="0"/>
          <w:color w:val="auto"/>
          <w:spacing w:val="0"/>
          <w:kern w:val="0"/>
          <w:sz w:val="27"/>
          <w:szCs w:val="27"/>
          <w:u w:val="none"/>
          <w:lang w:val="en-US" w:eastAsia="zh-CN" w:bidi="ar"/>
        </w:rPr>
        <w:fldChar w:fldCharType="begin"/>
      </w:r>
      <w:r>
        <w:rPr>
          <w:rFonts w:hint="eastAsia" w:ascii="微软雅黑" w:hAnsi="微软雅黑" w:eastAsia="微软雅黑" w:cs="微软雅黑"/>
          <w:i w:val="0"/>
          <w:iCs w:val="0"/>
          <w:caps w:val="0"/>
          <w:color w:val="auto"/>
          <w:spacing w:val="0"/>
          <w:kern w:val="0"/>
          <w:sz w:val="27"/>
          <w:szCs w:val="27"/>
          <w:u w:val="none"/>
          <w:lang w:val="en-US" w:eastAsia="zh-CN" w:bidi="ar"/>
        </w:rPr>
        <w:instrText xml:space="preserve"> HYPERLINK "http://www.nanhu.gov.cn/art/2023/1/11/art_1229707272_5053350.html?share_token=132bd350-624f-40a5-af61-eb1b0409aef6" \o "分享到新浪微博" </w:instrText>
      </w:r>
      <w:r>
        <w:rPr>
          <w:rFonts w:hint="eastAsia" w:ascii="微软雅黑" w:hAnsi="微软雅黑" w:eastAsia="微软雅黑" w:cs="微软雅黑"/>
          <w:i w:val="0"/>
          <w:iCs w:val="0"/>
          <w:caps w:val="0"/>
          <w:color w:val="auto"/>
          <w:spacing w:val="0"/>
          <w:kern w:val="0"/>
          <w:sz w:val="27"/>
          <w:szCs w:val="27"/>
          <w:u w:val="none"/>
          <w:lang w:val="en-US" w:eastAsia="zh-CN" w:bidi="ar"/>
        </w:rPr>
        <w:fldChar w:fldCharType="separate"/>
      </w:r>
      <w:r>
        <w:rPr>
          <w:rFonts w:hint="eastAsia" w:ascii="微软雅黑" w:hAnsi="微软雅黑" w:eastAsia="微软雅黑" w:cs="微软雅黑"/>
          <w:i w:val="0"/>
          <w:iCs w:val="0"/>
          <w:caps w:val="0"/>
          <w:color w:val="auto"/>
          <w:spacing w:val="0"/>
          <w:kern w:val="0"/>
          <w:sz w:val="27"/>
          <w:szCs w:val="27"/>
          <w:u w:val="none"/>
          <w:lang w:val="en-US" w:eastAsia="zh-CN" w:bidi="ar"/>
        </w:rPr>
        <w:fldChar w:fldCharType="end"/>
      </w:r>
    </w:p>
    <w:p w14:paraId="2B16E94B">
      <w:pPr>
        <w:pStyle w:val="4"/>
        <w:ind w:left="0" w:leftChars="0" w:firstLine="0" w:firstLineChars="0"/>
      </w:pPr>
    </w:p>
    <w:p w14:paraId="2978BD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u w:val="none"/>
          <w:shd w:val="clear" w:color="auto" w:fill="auto"/>
          <w:lang w:val="en-US" w:eastAsia="zh-CN" w:bidi="zh-TW"/>
        </w:rPr>
      </w:pPr>
      <w:r>
        <w:rPr>
          <w:rFonts w:hint="eastAsia" w:ascii="仿宋" w:hAnsi="仿宋" w:eastAsia="仿宋" w:cs="仿宋"/>
          <w:kern w:val="2"/>
          <w:sz w:val="32"/>
          <w:szCs w:val="32"/>
          <w:u w:val="none"/>
          <w:shd w:val="clear" w:color="auto" w:fill="auto"/>
          <w:lang w:val="en-US" w:eastAsia="zh-CN" w:bidi="zh-TW"/>
        </w:rPr>
        <w:t>根据《中华人民共和国消防法》和《黑龙江省消防安全重点单位界定标准（试行）》等配套标准制度，经各机关、团体、企业、事业单位和具有一定规模的个体工商户自行申报，由消防机构审查核定，现确定2025年度全县消防安全重点单位54家（保留51家，新增3家，撤销4家，更名0家）。现将调整确定情况公示如下：</w:t>
      </w:r>
    </w:p>
    <w:p w14:paraId="2876D5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kern w:val="2"/>
          <w:sz w:val="32"/>
          <w:szCs w:val="32"/>
          <w:u w:val="none"/>
          <w:shd w:val="clear" w:color="auto" w:fill="auto"/>
          <w:lang w:val="en-US" w:eastAsia="zh-CN" w:bidi="zh-TW"/>
        </w:rPr>
      </w:pPr>
      <w:r>
        <w:rPr>
          <w:rFonts w:hint="eastAsia" w:ascii="仿宋" w:hAnsi="仿宋" w:eastAsia="仿宋" w:cs="仿宋"/>
          <w:kern w:val="2"/>
          <w:sz w:val="32"/>
          <w:szCs w:val="32"/>
          <w:u w:val="none"/>
          <w:shd w:val="clear" w:color="auto" w:fill="auto"/>
          <w:lang w:val="en-US" w:eastAsia="zh-CN" w:bidi="zh-TW"/>
        </w:rPr>
        <w:t>一、保留消防安全重点单位51家</w:t>
      </w:r>
    </w:p>
    <w:tbl>
      <w:tblPr>
        <w:tblStyle w:val="7"/>
        <w:tblW w:w="965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0"/>
        <w:gridCol w:w="5621"/>
        <w:gridCol w:w="3345"/>
      </w:tblGrid>
      <w:tr w14:paraId="2AE512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174B1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序号</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1141D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单位</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30488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类型</w:t>
            </w:r>
          </w:p>
        </w:tc>
      </w:tr>
      <w:tr w14:paraId="60EFC9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C4E2C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21"/>
                <w:szCs w:val="21"/>
                <w:lang w:val="en-US" w:eastAsia="zh-CN" w:bidi="ar-SA"/>
              </w:rPr>
            </w:pPr>
            <w:r>
              <w:rPr>
                <w:rFonts w:hint="eastAsia" w:ascii="Calibri" w:hAnsi="Calibri" w:eastAsia="方正仿宋_GBK" w:cs="Times New Roman"/>
                <w:color w:val="auto"/>
                <w:kern w:val="2"/>
                <w:sz w:val="21"/>
                <w:szCs w:val="21"/>
                <w:lang w:val="en-US" w:eastAsia="zh-CN" w:bidi="ar-SA"/>
              </w:rPr>
              <w:t>1</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2C1073E">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呼玛县长宁市场</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CD5CF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kern w:val="2"/>
                <w:sz w:val="32"/>
                <w:szCs w:val="24"/>
                <w:lang w:val="en-US" w:eastAsia="zh-CN" w:bidi="ar-SA"/>
              </w:rPr>
            </w:pPr>
            <w:r>
              <w:rPr>
                <w:rFonts w:hint="eastAsia" w:ascii="仿宋" w:hAnsi="仿宋" w:eastAsia="仿宋" w:cs="仿宋"/>
                <w:color w:val="auto"/>
                <w:kern w:val="2"/>
                <w:sz w:val="21"/>
                <w:szCs w:val="21"/>
                <w:lang w:val="en-US" w:eastAsia="zh-CN" w:bidi="ar-SA"/>
              </w:rPr>
              <w:t>建筑面积在1000平方米以上且经营可燃商品的商场</w:t>
            </w:r>
          </w:p>
        </w:tc>
      </w:tr>
      <w:tr w14:paraId="0099E9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9699D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80F37B3">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呼玛县新华商城</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44EF8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lang w:val="en-US" w:eastAsia="zh-CN" w:bidi="ar-SA"/>
              </w:rPr>
              <w:t>建筑面积在1000平方米以上且经营可燃商品的商场</w:t>
            </w:r>
          </w:p>
        </w:tc>
      </w:tr>
      <w:tr w14:paraId="7BD38E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FFD45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E325195">
            <w:pPr>
              <w:keepNext w:val="0"/>
              <w:keepLines w:val="0"/>
              <w:widowControl/>
              <w:suppressLineNumbers w:val="0"/>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呼玛县知青宾馆有限责任公司</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2B015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客房数在30间以上</w:t>
            </w:r>
          </w:p>
        </w:tc>
      </w:tr>
      <w:tr w14:paraId="086673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171D1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9DC3161">
            <w:pPr>
              <w:keepNext w:val="0"/>
              <w:keepLines w:val="0"/>
              <w:widowControl/>
              <w:suppressLineNumbers w:val="0"/>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呼玛县业余体育学校</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B23D0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建筑面积2000平方米以上</w:t>
            </w:r>
          </w:p>
        </w:tc>
      </w:tr>
      <w:tr w14:paraId="65EF55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83A87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5</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FBE09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呼玛县勇超歌厅</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4B0AB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建筑面积在200平方米以上的室内公共娱乐场所</w:t>
            </w:r>
          </w:p>
        </w:tc>
      </w:tr>
      <w:tr w14:paraId="0F90A7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EF17E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EFC47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呼玛县人民医院</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FB525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90"/>
              </w:tabs>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县级以上医院</w:t>
            </w:r>
          </w:p>
        </w:tc>
      </w:tr>
      <w:tr w14:paraId="657437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93224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D49C3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呼玛县安心居敬老院</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AE85E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住宿床位在30张以上的养老院</w:t>
            </w:r>
          </w:p>
        </w:tc>
      </w:tr>
      <w:tr w14:paraId="26ABEF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A4628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83410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呼玛县福利院</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DB5D5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住宿床位在30张以上的养老院</w:t>
            </w:r>
          </w:p>
        </w:tc>
      </w:tr>
      <w:tr w14:paraId="52E34D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DF9C8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9</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0EC9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FF0000"/>
                <w:kern w:val="2"/>
                <w:sz w:val="21"/>
                <w:szCs w:val="21"/>
                <w:lang w:val="en-US" w:eastAsia="zh-CN" w:bidi="ar-SA"/>
              </w:rPr>
            </w:pPr>
            <w:r>
              <w:rPr>
                <w:rFonts w:hint="eastAsia" w:ascii="仿宋" w:hAnsi="仿宋" w:eastAsia="仿宋" w:cs="仿宋"/>
                <w:color w:val="auto"/>
                <w:kern w:val="2"/>
                <w:sz w:val="21"/>
                <w:szCs w:val="21"/>
                <w:lang w:val="en-US" w:eastAsia="zh-CN" w:bidi="ar-SA"/>
              </w:rPr>
              <w:t>呼玛县第一幼儿园</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8A8DB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入幼人数超90人</w:t>
            </w:r>
          </w:p>
        </w:tc>
      </w:tr>
      <w:tr w14:paraId="75F098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7F35B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56E8C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呼玛县人民政府</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2B0D6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县级以上党委、人大、政府、政协机关办公场所</w:t>
            </w:r>
          </w:p>
        </w:tc>
      </w:tr>
      <w:tr w14:paraId="7E6FCC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0D99E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11</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10AC6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呼玛县人民检察院</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4C9E3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县级以上人民检察院</w:t>
            </w:r>
          </w:p>
        </w:tc>
      </w:tr>
      <w:tr w14:paraId="5F4488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8818F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12</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CD5F8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呼玛县人民法院</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17912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县级以上人民法院</w:t>
            </w:r>
          </w:p>
        </w:tc>
      </w:tr>
      <w:tr w14:paraId="5C2EDA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E3102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13</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F45F3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呼玛县融媒体中心</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CD70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县级以上的广播电台、电视台</w:t>
            </w:r>
          </w:p>
        </w:tc>
      </w:tr>
      <w:tr w14:paraId="4C713F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7C088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14</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D9121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中国邮政集团有限公司黑龙江省呼玛县分公司</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01F6F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县级以上的邮政通信枢纽</w:t>
            </w:r>
          </w:p>
        </w:tc>
      </w:tr>
      <w:tr w14:paraId="4C8F8D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79366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26E02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中国联合网络通信有限公司呼玛县分公司</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06C76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县级以上的邮政通信枢纽</w:t>
            </w:r>
          </w:p>
        </w:tc>
      </w:tr>
      <w:tr w14:paraId="5E058E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3EF5B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16</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3158B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中国移动通信集团黑龙江有限公司呼玛分公司</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96572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县级以上的邮政通信枢纽</w:t>
            </w:r>
          </w:p>
        </w:tc>
      </w:tr>
      <w:tr w14:paraId="651E6D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94452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17</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328E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中国电信股份有限公司大兴安岭分公司</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2E8D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县级以上的邮政通信枢纽</w:t>
            </w:r>
          </w:p>
        </w:tc>
      </w:tr>
      <w:tr w14:paraId="50D07D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486F3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18</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7185B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呼玛县客运站</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A6D9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候车厅建筑面积在500平方米以上</w:t>
            </w:r>
          </w:p>
        </w:tc>
      </w:tr>
      <w:tr w14:paraId="541260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04E8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19</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02A36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呼玛县文物保护中心（博物馆）</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6F7E6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县级以上的公共博物馆</w:t>
            </w:r>
          </w:p>
        </w:tc>
      </w:tr>
      <w:tr w14:paraId="4ECE06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00039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20</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8428A94">
            <w:pPr>
              <w:keepNext w:val="0"/>
              <w:keepLines w:val="0"/>
              <w:widowControl/>
              <w:suppressLineNumbers w:val="0"/>
              <w:jc w:val="both"/>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呼玛县档案馆</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F98ED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县级以上的公共档案馆</w:t>
            </w:r>
          </w:p>
        </w:tc>
      </w:tr>
      <w:tr w14:paraId="3C24DF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EB9A6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21</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B6F4A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黑龙江省鑫玛热电集团有限责任公司</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0BDF7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none"/>
                <w:lang w:val="en-US" w:eastAsia="zh-CN" w:bidi="ar-SA"/>
              </w:rPr>
              <w:t>火力发电厂</w:t>
            </w:r>
          </w:p>
        </w:tc>
      </w:tr>
      <w:tr w14:paraId="09BD72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C29C0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22</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A4F40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国网黑龙江省电力有限公司呼玛供电公司 </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D7304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000000"/>
                <w:kern w:val="2"/>
                <w:sz w:val="21"/>
                <w:szCs w:val="21"/>
                <w:highlight w:val="none"/>
                <w:lang w:val="en-US" w:eastAsia="zh-CN" w:bidi="ar-SA"/>
              </w:rPr>
              <w:t>电网经营企业</w:t>
            </w:r>
          </w:p>
        </w:tc>
      </w:tr>
      <w:tr w14:paraId="6A1361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FC674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23</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727F0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大兴安岭利沃康药业有限公司</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96229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储存易燃易爆化学物品的工厂</w:t>
            </w:r>
          </w:p>
        </w:tc>
      </w:tr>
      <w:tr w14:paraId="77A372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481C2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24</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6576B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黑河中燃城市燃气发展有限公司呼玛分公司</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996C3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易燃易爆气体供应站</w:t>
            </w:r>
          </w:p>
        </w:tc>
      </w:tr>
      <w:tr w14:paraId="17EB0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800E3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25</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9FDE8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呼玛县万家液化石油气有限责任公司</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1BFC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易燃易爆液体充装站</w:t>
            </w:r>
          </w:p>
        </w:tc>
      </w:tr>
      <w:tr w14:paraId="3E3118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5890D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26</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E8E6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中国石油天然气股份有限公司黑龙江大兴安岭销售分公司呼玛韩家园加油站</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CA716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营业性汽车加油站</w:t>
            </w:r>
          </w:p>
        </w:tc>
      </w:tr>
      <w:tr w14:paraId="737A1C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EDF4C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27</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12FF3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中国石油天然气股份有限公司黑龙江大兴安岭销售分公司呼玛城南加油站</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D0B3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营业性汽车加油站</w:t>
            </w:r>
          </w:p>
        </w:tc>
      </w:tr>
      <w:tr w14:paraId="181939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23663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28</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D7EE0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中国石油天然气股份有限公司黑龙江大兴安岭销售分公司呼玛城北加油站</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BBB42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营业性汽车加油站</w:t>
            </w:r>
          </w:p>
        </w:tc>
      </w:tr>
      <w:tr w14:paraId="05B19A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84647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29</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E722D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中国石油天然气股份有限公司黑龙江大兴安岭销售分公司呼玛白银纳加油站</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EB46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营业性汽车加油站</w:t>
            </w:r>
          </w:p>
        </w:tc>
      </w:tr>
      <w:tr w14:paraId="239FD6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62D48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30</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49318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中国石油天然气股份有限公司黑龙江大兴安岭销售分公司呼玛三卡加油站</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A9D7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营业性汽车加油站</w:t>
            </w:r>
          </w:p>
        </w:tc>
      </w:tr>
      <w:tr w14:paraId="65093C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8AA44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31</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54248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韩家园林业局物资能源科加油站</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D927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营业性汽车加油站</w:t>
            </w:r>
          </w:p>
        </w:tc>
      </w:tr>
      <w:tr w14:paraId="5E9CE3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D840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32</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82919C2">
            <w:pPr>
              <w:keepNext w:val="0"/>
              <w:keepLines w:val="0"/>
              <w:widowControl/>
              <w:suppressLineNumbers w:val="0"/>
              <w:jc w:val="both"/>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呼玛县环通石油有限公司兴华乡加油站</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BAF8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营业性汽车加油站</w:t>
            </w:r>
          </w:p>
        </w:tc>
      </w:tr>
      <w:tr w14:paraId="227C20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B8809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33</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E40A48">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呼玛县环通石油有限公司北疆乡加油站</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046B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营业性汽车加油站</w:t>
            </w:r>
          </w:p>
        </w:tc>
      </w:tr>
      <w:tr w14:paraId="2813D5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92EC8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34</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72C5586">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呼玛县利宾宾馆</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17FD7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客房数在30间以上</w:t>
            </w:r>
          </w:p>
        </w:tc>
      </w:tr>
      <w:tr w14:paraId="50217E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723A8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35</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AAA6F8A">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呼玛县云景商务酒店</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762BF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客房数在30间以上</w:t>
            </w:r>
          </w:p>
        </w:tc>
      </w:tr>
      <w:tr w14:paraId="2EF6CF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5197C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36</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FE1C2EC">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呼玛县金客来宾馆</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6F0A5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客房数在30间以上</w:t>
            </w:r>
          </w:p>
        </w:tc>
      </w:tr>
      <w:tr w14:paraId="6CD914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626B8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37</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5B3EF9D">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呼玛县鑫达假日酒店</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5F9F7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客房数在30间以上</w:t>
            </w:r>
          </w:p>
        </w:tc>
      </w:tr>
      <w:tr w14:paraId="674850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FD4BD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38</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97E543E">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呼玛县基督教堂</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1E180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建筑面积1000平方米以上宗教活动场所</w:t>
            </w:r>
          </w:p>
        </w:tc>
      </w:tr>
      <w:tr w14:paraId="11C41D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CFAFF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39</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77A86B6">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呼玛县华新酒店</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892D0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建筑面积500平方米以上不具有娱乐功能的</w:t>
            </w:r>
          </w:p>
        </w:tc>
      </w:tr>
      <w:tr w14:paraId="70B0E8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C92A0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40</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44BBAC1">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呼玛县赫名川味火锅店</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9200F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建筑面积500平方米以上不具有娱乐功能的</w:t>
            </w:r>
          </w:p>
        </w:tc>
      </w:tr>
      <w:tr w14:paraId="66122F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649AD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41</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D0AF3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呼玛县阿萨帝歌厅</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9145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建筑面积在200平方米以上的室内公共娱乐场所</w:t>
            </w:r>
          </w:p>
        </w:tc>
      </w:tr>
      <w:tr w14:paraId="633E02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2AC32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42</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D7F6C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呼玛县维也纳歌厅</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3A1CF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建筑面积在200平方米以上的室内公共娱乐场所</w:t>
            </w:r>
          </w:p>
        </w:tc>
      </w:tr>
      <w:tr w14:paraId="2F5D75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1CDD7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43</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F9B52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呼玛县爱尚迈克疯歌厅</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7228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建筑面积在200平方米以上的室内公共娱乐场所</w:t>
            </w:r>
          </w:p>
        </w:tc>
      </w:tr>
      <w:tr w14:paraId="134262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0872A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44</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595A5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中国建设银行股份有限公司呼玛支行</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3C0AFB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12"/>
              </w:tabs>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ab/>
            </w:r>
            <w:r>
              <w:rPr>
                <w:rFonts w:hint="eastAsia" w:ascii="仿宋" w:hAnsi="仿宋" w:eastAsia="仿宋" w:cs="仿宋"/>
                <w:color w:val="auto"/>
                <w:kern w:val="2"/>
                <w:sz w:val="21"/>
                <w:szCs w:val="21"/>
                <w:highlight w:val="none"/>
                <w:lang w:val="en-US" w:eastAsia="zh-CN" w:bidi="ar-SA"/>
              </w:rPr>
              <w:t>支行级以上金融机构</w:t>
            </w:r>
          </w:p>
        </w:tc>
      </w:tr>
      <w:tr w14:paraId="5156FB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77697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45</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81020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中国工商银行股份有限公司呼玛支行</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49E3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支行级以上金融机构</w:t>
            </w:r>
          </w:p>
        </w:tc>
      </w:tr>
      <w:tr w14:paraId="2DC6B5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774F7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46</w:t>
            </w:r>
          </w:p>
        </w:tc>
        <w:tc>
          <w:tcPr>
            <w:tcW w:w="558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59B1B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中国农业银行股份有限公司呼玛支行</w:t>
            </w:r>
          </w:p>
        </w:tc>
        <w:tc>
          <w:tcPr>
            <w:tcW w:w="338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E724B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支行级以上金融机构</w:t>
            </w:r>
          </w:p>
        </w:tc>
      </w:tr>
      <w:tr w14:paraId="2862D7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noWrap w:val="0"/>
            <w:vAlign w:val="top"/>
          </w:tcPr>
          <w:p w14:paraId="7E42A3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47</w:t>
            </w:r>
          </w:p>
        </w:tc>
        <w:tc>
          <w:tcPr>
            <w:tcW w:w="0" w:type="auto"/>
            <w:noWrap w:val="0"/>
            <w:vAlign w:val="center"/>
          </w:tcPr>
          <w:p w14:paraId="1FCBBD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黑龙江呼玛农村商业银行股份有限公司</w:t>
            </w:r>
          </w:p>
        </w:tc>
        <w:tc>
          <w:tcPr>
            <w:tcW w:w="0" w:type="auto"/>
            <w:noWrap w:val="0"/>
            <w:vAlign w:val="center"/>
          </w:tcPr>
          <w:p w14:paraId="5C1A7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支行级以上金融机构</w:t>
            </w:r>
          </w:p>
        </w:tc>
      </w:tr>
      <w:tr w14:paraId="273C67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noWrap w:val="0"/>
            <w:vAlign w:val="top"/>
          </w:tcPr>
          <w:p w14:paraId="463021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48</w:t>
            </w:r>
          </w:p>
        </w:tc>
        <w:tc>
          <w:tcPr>
            <w:tcW w:w="0" w:type="auto"/>
            <w:noWrap w:val="0"/>
            <w:vAlign w:val="center"/>
          </w:tcPr>
          <w:p w14:paraId="0F2430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中国邮政储蓄银行股份有限公司呼玛县支行</w:t>
            </w:r>
          </w:p>
        </w:tc>
        <w:tc>
          <w:tcPr>
            <w:tcW w:w="0" w:type="auto"/>
            <w:noWrap w:val="0"/>
            <w:vAlign w:val="center"/>
          </w:tcPr>
          <w:p w14:paraId="6E01D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支行级以上金融机构</w:t>
            </w:r>
          </w:p>
        </w:tc>
      </w:tr>
      <w:tr w14:paraId="1EB15E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noWrap w:val="0"/>
            <w:vAlign w:val="top"/>
          </w:tcPr>
          <w:p w14:paraId="7BED34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49</w:t>
            </w:r>
          </w:p>
        </w:tc>
        <w:tc>
          <w:tcPr>
            <w:tcW w:w="0" w:type="auto"/>
            <w:noWrap w:val="0"/>
            <w:vAlign w:val="center"/>
          </w:tcPr>
          <w:p w14:paraId="0CD34E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呼玛县万家液化石油气有限责任公司韩家园液化石油气销售部</w:t>
            </w:r>
          </w:p>
        </w:tc>
        <w:tc>
          <w:tcPr>
            <w:tcW w:w="0" w:type="auto"/>
            <w:noWrap w:val="0"/>
            <w:vAlign w:val="center"/>
          </w:tcPr>
          <w:p w14:paraId="7AFE8F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液化石油气换瓶站</w:t>
            </w:r>
          </w:p>
        </w:tc>
      </w:tr>
      <w:tr w14:paraId="336D99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noWrap w:val="0"/>
            <w:vAlign w:val="top"/>
          </w:tcPr>
          <w:p w14:paraId="4BBBAE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50</w:t>
            </w:r>
          </w:p>
        </w:tc>
        <w:tc>
          <w:tcPr>
            <w:tcW w:w="0" w:type="auto"/>
            <w:noWrap w:val="0"/>
            <w:vAlign w:val="center"/>
          </w:tcPr>
          <w:p w14:paraId="33BB9E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呼玛县中医医院</w:t>
            </w:r>
          </w:p>
        </w:tc>
        <w:tc>
          <w:tcPr>
            <w:tcW w:w="0" w:type="auto"/>
            <w:noWrap w:val="0"/>
            <w:vAlign w:val="center"/>
          </w:tcPr>
          <w:p w14:paraId="5E2DF6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县级以上医院</w:t>
            </w:r>
          </w:p>
        </w:tc>
      </w:tr>
      <w:tr w14:paraId="279585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noWrap w:val="0"/>
            <w:vAlign w:val="top"/>
          </w:tcPr>
          <w:p w14:paraId="40DE61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51</w:t>
            </w:r>
          </w:p>
        </w:tc>
        <w:tc>
          <w:tcPr>
            <w:tcW w:w="0" w:type="auto"/>
            <w:noWrap w:val="0"/>
            <w:vAlign w:val="center"/>
          </w:tcPr>
          <w:p w14:paraId="2A7D4B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呼玛县博爱敬老院</w:t>
            </w:r>
          </w:p>
        </w:tc>
        <w:tc>
          <w:tcPr>
            <w:tcW w:w="0" w:type="auto"/>
            <w:noWrap w:val="0"/>
            <w:vAlign w:val="center"/>
          </w:tcPr>
          <w:p w14:paraId="3E4BAE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住宿床位在30张以上的养老院</w:t>
            </w:r>
          </w:p>
        </w:tc>
      </w:tr>
      <w:tr w14:paraId="44B578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noWrap w:val="0"/>
            <w:vAlign w:val="top"/>
          </w:tcPr>
          <w:p w14:paraId="7256AA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cs="Times New Roman"/>
                <w:color w:val="auto"/>
                <w:kern w:val="2"/>
                <w:sz w:val="21"/>
                <w:szCs w:val="21"/>
                <w:lang w:val="en-US" w:eastAsia="zh-CN" w:bidi="ar-SA"/>
              </w:rPr>
            </w:pPr>
          </w:p>
        </w:tc>
        <w:tc>
          <w:tcPr>
            <w:tcW w:w="0" w:type="auto"/>
            <w:noWrap w:val="0"/>
            <w:vAlign w:val="center"/>
          </w:tcPr>
          <w:p w14:paraId="2E7BFD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p>
        </w:tc>
        <w:tc>
          <w:tcPr>
            <w:tcW w:w="0" w:type="auto"/>
            <w:noWrap w:val="0"/>
            <w:vAlign w:val="center"/>
          </w:tcPr>
          <w:p w14:paraId="687D7A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p>
        </w:tc>
      </w:tr>
    </w:tbl>
    <w:p w14:paraId="1E4B16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u w:val="none"/>
          <w:shd w:val="clear" w:color="auto" w:fill="auto"/>
          <w:lang w:val="en-US" w:eastAsia="zh-CN" w:bidi="zh-TW"/>
        </w:rPr>
      </w:pPr>
      <w:r>
        <w:rPr>
          <w:rFonts w:hint="eastAsia" w:ascii="仿宋" w:hAnsi="仿宋" w:eastAsia="仿宋" w:cs="仿宋"/>
          <w:kern w:val="2"/>
          <w:sz w:val="32"/>
          <w:szCs w:val="32"/>
          <w:u w:val="none"/>
          <w:shd w:val="clear" w:color="auto" w:fill="auto"/>
          <w:lang w:val="en-US" w:eastAsia="zh-CN" w:bidi="zh-TW"/>
        </w:rPr>
        <w:t>二、新增消防安全重点单位3家</w:t>
      </w:r>
    </w:p>
    <w:tbl>
      <w:tblPr>
        <w:tblStyle w:val="7"/>
        <w:tblW w:w="939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96"/>
        <w:gridCol w:w="4056"/>
        <w:gridCol w:w="4341"/>
      </w:tblGrid>
      <w:tr w14:paraId="2BC91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9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782C8E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序号</w:t>
            </w:r>
          </w:p>
        </w:tc>
        <w:tc>
          <w:tcPr>
            <w:tcW w:w="4056" w:type="dxa"/>
            <w:tcBorders>
              <w:top w:val="single" w:color="auto" w:sz="6" w:space="0"/>
              <w:left w:val="nil"/>
              <w:bottom w:val="single" w:color="auto" w:sz="6" w:space="0"/>
              <w:right w:val="single" w:color="auto" w:sz="6" w:space="0"/>
            </w:tcBorders>
            <w:noWrap w:val="0"/>
            <w:tcMar>
              <w:left w:w="105" w:type="dxa"/>
              <w:right w:w="105" w:type="dxa"/>
            </w:tcMar>
            <w:vAlign w:val="center"/>
          </w:tcPr>
          <w:p w14:paraId="70B721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单位</w:t>
            </w:r>
          </w:p>
        </w:tc>
        <w:tc>
          <w:tcPr>
            <w:tcW w:w="4341" w:type="dxa"/>
            <w:tcBorders>
              <w:top w:val="single" w:color="auto" w:sz="6" w:space="0"/>
              <w:left w:val="nil"/>
              <w:bottom w:val="single" w:color="auto" w:sz="6" w:space="0"/>
              <w:right w:val="single" w:color="auto" w:sz="6" w:space="0"/>
            </w:tcBorders>
            <w:noWrap w:val="0"/>
            <w:tcMar>
              <w:left w:w="105" w:type="dxa"/>
              <w:right w:w="105" w:type="dxa"/>
            </w:tcMar>
            <w:vAlign w:val="center"/>
          </w:tcPr>
          <w:p w14:paraId="616F02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类型</w:t>
            </w:r>
          </w:p>
        </w:tc>
      </w:tr>
      <w:tr w14:paraId="59CB20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96" w:type="dxa"/>
            <w:tcBorders>
              <w:top w:val="single" w:color="auto" w:sz="4" w:space="0"/>
              <w:left w:val="single" w:color="auto" w:sz="6" w:space="0"/>
              <w:bottom w:val="single" w:color="auto" w:sz="4" w:space="0"/>
              <w:right w:val="single" w:color="auto" w:sz="6" w:space="0"/>
            </w:tcBorders>
            <w:noWrap w:val="0"/>
            <w:tcMar>
              <w:left w:w="105" w:type="dxa"/>
              <w:right w:w="105" w:type="dxa"/>
            </w:tcMar>
            <w:vAlign w:val="top"/>
          </w:tcPr>
          <w:p w14:paraId="263C74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4056" w:type="dxa"/>
            <w:tcBorders>
              <w:top w:val="single" w:color="auto" w:sz="4" w:space="0"/>
              <w:left w:val="nil"/>
              <w:bottom w:val="single" w:color="auto" w:sz="4" w:space="0"/>
              <w:right w:val="single" w:color="auto" w:sz="6" w:space="0"/>
            </w:tcBorders>
            <w:noWrap w:val="0"/>
            <w:tcMar>
              <w:left w:w="105" w:type="dxa"/>
              <w:right w:w="105" w:type="dxa"/>
            </w:tcMar>
            <w:vAlign w:val="center"/>
          </w:tcPr>
          <w:p w14:paraId="69A1F5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呼玛县大歌星娱乐有限责任公司</w:t>
            </w:r>
          </w:p>
        </w:tc>
        <w:tc>
          <w:tcPr>
            <w:tcW w:w="4341" w:type="dxa"/>
            <w:tcBorders>
              <w:top w:val="single" w:color="auto" w:sz="4" w:space="0"/>
              <w:left w:val="nil"/>
              <w:bottom w:val="single" w:color="auto" w:sz="4" w:space="0"/>
              <w:right w:val="single" w:color="auto" w:sz="6" w:space="0"/>
            </w:tcBorders>
            <w:noWrap w:val="0"/>
            <w:tcMar>
              <w:left w:w="105" w:type="dxa"/>
              <w:right w:w="105" w:type="dxa"/>
            </w:tcMar>
            <w:vAlign w:val="center"/>
          </w:tcPr>
          <w:p w14:paraId="2946BF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建筑面积在200平方米以上的室内公共娱乐场所</w:t>
            </w:r>
          </w:p>
        </w:tc>
      </w:tr>
      <w:tr w14:paraId="654861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left w:val="single" w:color="auto" w:sz="4" w:space="0"/>
            </w:tcBorders>
            <w:noWrap w:val="0"/>
            <w:vAlign w:val="top"/>
          </w:tcPr>
          <w:p w14:paraId="30DBF3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c>
          <w:tcPr>
            <w:tcW w:w="0" w:type="auto"/>
            <w:noWrap w:val="0"/>
            <w:vAlign w:val="center"/>
          </w:tcPr>
          <w:p w14:paraId="086B0D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呼玛鹿鼎山航空有限责任公司</w:t>
            </w:r>
          </w:p>
        </w:tc>
        <w:tc>
          <w:tcPr>
            <w:tcW w:w="0" w:type="auto"/>
            <w:tcBorders>
              <w:right w:val="single" w:color="auto" w:sz="4" w:space="0"/>
            </w:tcBorders>
            <w:noWrap w:val="0"/>
            <w:vAlign w:val="center"/>
          </w:tcPr>
          <w:p w14:paraId="511598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民用机场</w:t>
            </w:r>
          </w:p>
        </w:tc>
      </w:tr>
      <w:tr w14:paraId="6E05FF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left w:val="single" w:color="auto" w:sz="4" w:space="0"/>
            </w:tcBorders>
            <w:noWrap w:val="0"/>
            <w:vAlign w:val="top"/>
          </w:tcPr>
          <w:p w14:paraId="07B963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c>
          <w:tcPr>
            <w:tcW w:w="0" w:type="auto"/>
            <w:noWrap w:val="0"/>
            <w:vAlign w:val="center"/>
          </w:tcPr>
          <w:p w14:paraId="5CAB3C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国电投天津电力公司北境风电场</w:t>
            </w:r>
          </w:p>
        </w:tc>
        <w:tc>
          <w:tcPr>
            <w:tcW w:w="0" w:type="auto"/>
            <w:tcBorders>
              <w:right w:val="single" w:color="auto" w:sz="4" w:space="0"/>
            </w:tcBorders>
            <w:noWrap w:val="0"/>
            <w:vAlign w:val="center"/>
          </w:tcPr>
          <w:p w14:paraId="7272C0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装机容量10KW以上的风力发电站</w:t>
            </w:r>
          </w:p>
        </w:tc>
      </w:tr>
    </w:tbl>
    <w:p w14:paraId="619EEA4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u w:val="none"/>
          <w:shd w:val="clear" w:color="auto" w:fill="auto"/>
          <w:lang w:val="en-US" w:eastAsia="zh-CN" w:bidi="zh-TW"/>
        </w:rPr>
      </w:pPr>
      <w:r>
        <w:rPr>
          <w:rFonts w:hint="eastAsia" w:ascii="仿宋" w:hAnsi="仿宋" w:eastAsia="仿宋" w:cs="仿宋"/>
          <w:kern w:val="2"/>
          <w:sz w:val="32"/>
          <w:szCs w:val="32"/>
          <w:u w:val="none"/>
          <w:shd w:val="clear" w:color="auto" w:fill="auto"/>
          <w:lang w:val="en-US" w:eastAsia="zh-CN" w:bidi="zh-TW"/>
        </w:rPr>
        <w:t>三、撤销消防安全重点单位4家</w:t>
      </w:r>
    </w:p>
    <w:tbl>
      <w:tblPr>
        <w:tblStyle w:val="7"/>
        <w:tblW w:w="92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58"/>
        <w:gridCol w:w="4533"/>
        <w:gridCol w:w="3407"/>
      </w:tblGrid>
      <w:tr w14:paraId="21E230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5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B44D1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序号</w:t>
            </w:r>
          </w:p>
        </w:tc>
        <w:tc>
          <w:tcPr>
            <w:tcW w:w="45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14194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单位</w:t>
            </w:r>
          </w:p>
        </w:tc>
        <w:tc>
          <w:tcPr>
            <w:tcW w:w="340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88543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原因</w:t>
            </w:r>
          </w:p>
        </w:tc>
      </w:tr>
      <w:tr w14:paraId="143B14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5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0DCFA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21"/>
                <w:szCs w:val="21"/>
                <w:lang w:val="en-US" w:eastAsia="zh-CN" w:bidi="ar-SA"/>
              </w:rPr>
            </w:pPr>
            <w:r>
              <w:rPr>
                <w:rFonts w:hint="eastAsia" w:ascii="Calibri" w:hAnsi="Calibri" w:eastAsia="方正仿宋_GBK" w:cs="Times New Roman"/>
                <w:color w:val="auto"/>
                <w:kern w:val="2"/>
                <w:sz w:val="21"/>
                <w:szCs w:val="21"/>
                <w:lang w:val="en-US" w:eastAsia="zh-CN" w:bidi="ar-SA"/>
              </w:rPr>
              <w:t>1</w:t>
            </w:r>
          </w:p>
        </w:tc>
        <w:tc>
          <w:tcPr>
            <w:tcW w:w="45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FA3BE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呼玛县北北主题歌厅</w:t>
            </w:r>
          </w:p>
        </w:tc>
        <w:tc>
          <w:tcPr>
            <w:tcW w:w="340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5E997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已注销</w:t>
            </w:r>
          </w:p>
        </w:tc>
      </w:tr>
      <w:tr w14:paraId="713A74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5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065E9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c>
          <w:tcPr>
            <w:tcW w:w="45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09107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呼玛县福寿园敬老院</w:t>
            </w:r>
          </w:p>
        </w:tc>
        <w:tc>
          <w:tcPr>
            <w:tcW w:w="340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7C762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住宿床位低于界定标准</w:t>
            </w:r>
          </w:p>
        </w:tc>
      </w:tr>
      <w:tr w14:paraId="0DEC7F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5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DC0F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c>
          <w:tcPr>
            <w:tcW w:w="45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765EE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呼玛县晟合大酒店</w:t>
            </w:r>
          </w:p>
        </w:tc>
        <w:tc>
          <w:tcPr>
            <w:tcW w:w="340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87592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已停业</w:t>
            </w:r>
          </w:p>
        </w:tc>
      </w:tr>
      <w:tr w14:paraId="1D524C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5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FFAB9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45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A647C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呼玛县人民银行</w:t>
            </w:r>
          </w:p>
        </w:tc>
        <w:tc>
          <w:tcPr>
            <w:tcW w:w="340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F7BC6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已更改为监管机构</w:t>
            </w:r>
          </w:p>
        </w:tc>
      </w:tr>
    </w:tbl>
    <w:p w14:paraId="275502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u w:val="none"/>
          <w:shd w:val="clear" w:color="auto" w:fill="auto"/>
          <w:lang w:val="en-US" w:eastAsia="zh-CN" w:bidi="zh-TW"/>
        </w:rPr>
      </w:pPr>
      <w:r>
        <w:rPr>
          <w:rFonts w:hint="eastAsia" w:ascii="仿宋" w:hAnsi="仿宋" w:eastAsia="仿宋" w:cs="仿宋"/>
          <w:kern w:val="2"/>
          <w:sz w:val="32"/>
          <w:szCs w:val="32"/>
          <w:u w:val="none"/>
          <w:shd w:val="clear" w:color="auto" w:fill="auto"/>
          <w:lang w:val="en-US" w:eastAsia="zh-CN" w:bidi="zh-TW"/>
        </w:rPr>
        <w:t>四、名称变更的消防安全重点单位0家</w:t>
      </w:r>
    </w:p>
    <w:tbl>
      <w:tblPr>
        <w:tblStyle w:val="7"/>
        <w:tblW w:w="92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29"/>
        <w:gridCol w:w="3975"/>
        <w:gridCol w:w="4006"/>
      </w:tblGrid>
      <w:tr w14:paraId="7E9A35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2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474183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序号</w:t>
            </w:r>
          </w:p>
        </w:tc>
        <w:tc>
          <w:tcPr>
            <w:tcW w:w="397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03B843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单位</w:t>
            </w:r>
          </w:p>
        </w:tc>
        <w:tc>
          <w:tcPr>
            <w:tcW w:w="4006" w:type="dxa"/>
            <w:tcBorders>
              <w:top w:val="single" w:color="auto" w:sz="6" w:space="0"/>
              <w:left w:val="nil"/>
              <w:bottom w:val="single" w:color="auto" w:sz="6" w:space="0"/>
              <w:right w:val="single" w:color="auto" w:sz="6" w:space="0"/>
            </w:tcBorders>
            <w:noWrap w:val="0"/>
            <w:tcMar>
              <w:left w:w="105" w:type="dxa"/>
              <w:right w:w="105" w:type="dxa"/>
            </w:tcMar>
            <w:vAlign w:val="center"/>
          </w:tcPr>
          <w:p w14:paraId="786C22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eastAsia="方正仿宋_GBK" w:cs="Times New Roman"/>
                <w:color w:val="auto"/>
                <w:kern w:val="2"/>
                <w:sz w:val="32"/>
                <w:szCs w:val="24"/>
                <w:lang w:val="en-US" w:eastAsia="zh-CN" w:bidi="ar-SA"/>
              </w:rPr>
            </w:pPr>
            <w:r>
              <w:rPr>
                <w:rFonts w:hint="eastAsia" w:ascii="Calibri" w:hAnsi="Calibri" w:eastAsia="方正仿宋_GBK" w:cs="Times New Roman"/>
                <w:color w:val="auto"/>
                <w:kern w:val="2"/>
                <w:sz w:val="32"/>
                <w:szCs w:val="24"/>
                <w:lang w:val="en-US" w:eastAsia="zh-CN" w:bidi="ar-SA"/>
              </w:rPr>
              <w:t>原名称</w:t>
            </w:r>
          </w:p>
        </w:tc>
      </w:tr>
      <w:tr w14:paraId="605C39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2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28C5D4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eastAsia="方正仿宋_GBK" w:cs="Times New Roman"/>
                <w:color w:val="auto"/>
                <w:kern w:val="2"/>
                <w:sz w:val="32"/>
                <w:szCs w:val="24"/>
                <w:lang w:val="en-US" w:eastAsia="zh-CN" w:bidi="ar-SA"/>
              </w:rPr>
            </w:pPr>
            <w:r>
              <w:rPr>
                <w:rFonts w:hint="eastAsia" w:cs="Times New Roman"/>
                <w:color w:val="auto"/>
                <w:kern w:val="2"/>
                <w:sz w:val="21"/>
                <w:szCs w:val="21"/>
                <w:lang w:val="en-US" w:eastAsia="zh-CN" w:bidi="ar-SA"/>
              </w:rPr>
              <w:t>无</w:t>
            </w:r>
          </w:p>
        </w:tc>
        <w:tc>
          <w:tcPr>
            <w:tcW w:w="397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32ABAF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kern w:val="2"/>
                <w:sz w:val="21"/>
                <w:szCs w:val="21"/>
                <w:lang w:val="en-US" w:eastAsia="zh-CN" w:bidi="ar-SA"/>
              </w:rPr>
            </w:pPr>
          </w:p>
        </w:tc>
        <w:tc>
          <w:tcPr>
            <w:tcW w:w="4006" w:type="dxa"/>
            <w:tcBorders>
              <w:top w:val="single" w:color="auto" w:sz="6" w:space="0"/>
              <w:left w:val="nil"/>
              <w:bottom w:val="single" w:color="auto" w:sz="6" w:space="0"/>
              <w:right w:val="single" w:color="auto" w:sz="6" w:space="0"/>
            </w:tcBorders>
            <w:noWrap w:val="0"/>
            <w:tcMar>
              <w:left w:w="105" w:type="dxa"/>
              <w:right w:w="105" w:type="dxa"/>
            </w:tcMar>
            <w:vAlign w:val="center"/>
          </w:tcPr>
          <w:p w14:paraId="688C2C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kern w:val="2"/>
                <w:sz w:val="21"/>
                <w:szCs w:val="21"/>
                <w:lang w:val="en-US" w:eastAsia="zh-CN" w:bidi="ar-SA"/>
              </w:rPr>
            </w:pPr>
          </w:p>
        </w:tc>
      </w:tr>
    </w:tbl>
    <w:p w14:paraId="692366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 w:hAnsi="仿宋" w:eastAsia="仿宋" w:cs="仿宋"/>
          <w:kern w:val="2"/>
          <w:sz w:val="32"/>
          <w:szCs w:val="32"/>
          <w:u w:val="none"/>
          <w:shd w:val="clear" w:color="auto" w:fill="auto"/>
          <w:lang w:val="en-US" w:eastAsia="zh-CN" w:bidi="zh-TW"/>
        </w:rPr>
      </w:pPr>
      <w:r>
        <w:rPr>
          <w:rFonts w:hint="eastAsia" w:ascii="仿宋" w:hAnsi="仿宋" w:eastAsia="仿宋" w:cs="仿宋"/>
          <w:kern w:val="2"/>
          <w:sz w:val="32"/>
          <w:szCs w:val="32"/>
          <w:u w:val="none"/>
          <w:shd w:val="clear" w:color="auto" w:fill="auto"/>
          <w:lang w:val="en-US" w:eastAsia="zh-CN" w:bidi="zh-TW"/>
        </w:rPr>
        <w:t>五、管辖分工。县消防救援大队对消防安全重点单位履行消防安全职责情况进行监管，其他一般社会单位、“九小场所”的消防监管工作由各乡镇派出所和消防工作站按照属地管理原则负责。</w:t>
      </w:r>
    </w:p>
    <w:p w14:paraId="34F2EC2B">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06C02735">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50D20779">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4E34DEC9">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6F7B4C90">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0225C787">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441E6521">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2D2896ED">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2C30CEB0">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00635F91">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21E43847">
      <w:pPr>
        <w:pStyle w:val="6"/>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lang w:val="en-US" w:eastAsia="zh-CN"/>
        </w:rPr>
      </w:pPr>
    </w:p>
    <w:p w14:paraId="7023556F">
      <w:pPr>
        <w:pStyle w:val="6"/>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lang w:val="en-US" w:eastAsia="zh-CN"/>
        </w:rPr>
      </w:pPr>
    </w:p>
    <w:p w14:paraId="44962BDB">
      <w:pPr>
        <w:pStyle w:val="6"/>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color w:val="auto"/>
          <w:lang w:val="en-US" w:eastAsia="zh-CN"/>
        </w:rPr>
      </w:pPr>
    </w:p>
    <w:p w14:paraId="7BAF07F6">
      <w:pPr>
        <w:pStyle w:val="6"/>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color w:val="auto"/>
          <w:lang w:val="en-US" w:eastAsia="zh-CN"/>
        </w:rPr>
      </w:pPr>
      <w:r>
        <w:rPr>
          <w:rFonts w:hint="eastAsia"/>
          <w:color w:val="auto"/>
          <w:lang w:val="en-US" w:eastAsia="zh-CN"/>
        </w:rPr>
        <w:t>呼玛县应急管理局</w:t>
      </w:r>
    </w:p>
    <w:p w14:paraId="07515F9F">
      <w:pPr>
        <w:pStyle w:val="6"/>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eastAsia="宋体"/>
          <w:b/>
          <w:sz w:val="32"/>
          <w:szCs w:val="32"/>
          <w:u w:val="none"/>
          <w:lang w:eastAsia="zh-CN"/>
        </w:rPr>
      </w:pPr>
      <w:r>
        <w:rPr>
          <w:rFonts w:hint="eastAsia"/>
          <w:color w:val="auto"/>
          <w:lang w:val="en-US" w:eastAsia="zh-CN"/>
        </w:rPr>
        <w:t>2025年2月27日</w:t>
      </w:r>
    </w:p>
    <w:p w14:paraId="6F6B8CB6">
      <w:pPr>
        <w:pStyle w:val="2"/>
        <w:rPr>
          <w:rFonts w:hint="eastAsia" w:eastAsia="宋体"/>
          <w:b/>
          <w:sz w:val="32"/>
          <w:szCs w:val="32"/>
          <w:u w:val="none"/>
          <w:lang w:eastAsia="zh-CN"/>
        </w:rPr>
      </w:pPr>
    </w:p>
    <w:p w14:paraId="57FA7156">
      <w:pPr>
        <w:pStyle w:val="2"/>
        <w:rPr>
          <w:rFonts w:hint="eastAsia" w:eastAsia="宋体"/>
          <w:b/>
          <w:sz w:val="32"/>
          <w:szCs w:val="32"/>
          <w:u w:val="none"/>
          <w:lang w:eastAsia="zh-CN"/>
        </w:rPr>
      </w:pPr>
    </w:p>
    <w:p w14:paraId="078B7E83">
      <w:pPr>
        <w:spacing w:line="320" w:lineRule="exact"/>
        <w:rPr>
          <w:rFonts w:hint="eastAsia" w:eastAsia="宋体"/>
          <w:b/>
          <w:sz w:val="32"/>
          <w:szCs w:val="32"/>
          <w:u w:val="none"/>
          <w:lang w:eastAsia="zh-CN"/>
        </w:rPr>
      </w:pPr>
    </w:p>
    <w:p w14:paraId="4E2DE064">
      <w:pPr>
        <w:pStyle w:val="2"/>
        <w:rPr>
          <w:rFonts w:hint="eastAsia"/>
          <w:lang w:eastAsia="zh-CN"/>
        </w:rPr>
      </w:pPr>
      <w:bookmarkStart w:id="0" w:name="_GoBack"/>
      <w:bookmarkEnd w:id="0"/>
    </w:p>
    <w:p w14:paraId="0407AD87">
      <w:pPr>
        <w:spacing w:line="320" w:lineRule="exact"/>
        <w:rPr>
          <w:rFonts w:hint="eastAsia" w:eastAsia="宋体"/>
          <w:b/>
          <w:sz w:val="32"/>
          <w:szCs w:val="32"/>
          <w:u w:val="none"/>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56515</wp:posOffset>
                </wp:positionV>
                <wp:extent cx="5800725" cy="19050"/>
                <wp:effectExtent l="0" t="9525" r="9525" b="9525"/>
                <wp:wrapNone/>
                <wp:docPr id="2" name="直接连接符 2"/>
                <wp:cNvGraphicFramePr/>
                <a:graphic xmlns:a="http://schemas.openxmlformats.org/drawingml/2006/main">
                  <a:graphicData uri="http://schemas.microsoft.com/office/word/2010/wordprocessingShape">
                    <wps:wsp>
                      <wps:cNvSpPr/>
                      <wps:spPr>
                        <a:xfrm flipV="1">
                          <a:off x="0" y="0"/>
                          <a:ext cx="5800725" cy="1905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pt;margin-top:4.45pt;height:1.5pt;width:456.75pt;z-index:251659264;mso-width-relative:page;mso-height-relative:page;" fillcolor="#FFFFFF" filled="t" stroked="t" coordsize="21600,21600" o:gfxdata="UEsDBAoAAAAAAIdO4kAAAAAAAAAAAAAAAAAEAAAAZHJzL1BLAwQUAAAACACHTuJAtnML3NQAAAAG&#10;AQAADwAAAGRycy9kb3ducmV2LnhtbE2PzU7DMBCE70i8g7VIXCpqBwFqQpweKrVSpXJoywNs420S&#10;iNdR7P69PcsJjrOzmvmmnF99r840xi6whWxqQBHXwXXcWPjcL59moGJCdtgHJgs3ijCv7u9KLFy4&#10;8JbOu9QoCeFYoIU2paHQOtYteYzTMBCLdwyjxyRybLQb8SLhvtfPxrxpjx1LQ4sDLVqqv3cnbyFO&#10;ePOx3UjpnuhovibDauXX1j4+ZOYdVKJr+nuGX3xBh0qYDuHELqpetCxJFmY5KHHz7OUV1EHOWQ66&#10;KvV//OoHUEsDBBQAAAAIAIdO4kCPuth5/QEAAPMDAAAOAAAAZHJzL2Uyb0RvYy54bWytU72OEzEQ&#10;7pF4B8s92c1KgWOVzRWEo0Fw0gH9xD+7lvwn28kmL8ELINFBRUnP29zxGIy9uQBHk4ItrLFn9pv5&#10;Pn9eXu6NJjsRonK2o/NZTYmwzHFl+46+f3f15IKSmMBy0M6Kjh5EpJerx4+Wo29F4wanuQgEQWxs&#10;R9/RISXfVlVkgzAQZ84Li0npgoGE29BXPMCI6EZXTV0/rUYXuA+OiRjxdD0l6RExnAPopFRMrB3b&#10;GmHThBqEhoSU4qB8pKsyrZSCpbdSRpGI7igyTWXFJhhv8lqtltD2Afyg2HEEOGeEB5wMKItNT1Br&#10;SEC2Qf0DZRQLLjqZZsyZaiJSFEEW8/qBNjcDeFG4oNTRn0SP/w+WvdldB6J4RxtKLBi88LtP328/&#10;fvn54zOud9++kiaLNPrYYu2Nvw7HXcQwM97LYIjUyn9ANxUNkBXZF4kPJ4nFPhGGh4uLun7WLChh&#10;mJs/rxflCqoJJsP5ENMr4QzJQUe1slkBaGH3OiZsjaX3JflYWzLeAxEG6EeJPkB445FTtH35OTqt&#10;+JXSOv8SQ795oQPZQfZE+TJDBP6rLHdZQxymupKa3DII4C8tJ+ngUS2Lj4TmGYzglGiBbypHCAht&#10;AqXPqcTW2uIEWeRJ1hxtHD/g3Wx9UP2AUszLlDmDXijzHn2bzfbnviD9fqu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zC9zUAAAABgEAAA8AAAAAAAAAAQAgAAAAIgAAAGRycy9kb3ducmV2Lnht&#10;bFBLAQIUABQAAAAIAIdO4kCPuth5/QEAAPMDAAAOAAAAAAAAAAEAIAAAACMBAABkcnMvZTJvRG9j&#10;LnhtbFBLBQYAAAAABgAGAFkBAACSBQAAAAA=&#10;">
                <v:path arrowok="t"/>
                <v:fill on="t" focussize="0,0"/>
                <v:stroke weight="1.5pt"/>
                <v:imagedata o:title=""/>
                <o:lock v:ext="edit" aspectratio="f"/>
              </v:line>
            </w:pict>
          </mc:Fallback>
        </mc:AlternateContent>
      </w:r>
    </w:p>
    <w:p w14:paraId="62199164">
      <w:pPr>
        <w:spacing w:line="320" w:lineRule="exact"/>
        <w:rPr>
          <w:rFonts w:hint="eastAsia" w:ascii="仿宋_GB2312" w:hAnsi="仿宋_GB2312" w:eastAsia="仿宋_GB2312" w:cs="仿宋_GB2312"/>
          <w:bCs/>
          <w:sz w:val="32"/>
          <w:szCs w:val="32"/>
          <w:u w:val="none"/>
        </w:rPr>
      </w:pPr>
      <w:r>
        <w:rPr>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272415</wp:posOffset>
                </wp:positionV>
                <wp:extent cx="5800725" cy="19050"/>
                <wp:effectExtent l="0" t="9525" r="9525" b="9525"/>
                <wp:wrapNone/>
                <wp:docPr id="1" name="直接连接符 1"/>
                <wp:cNvGraphicFramePr/>
                <a:graphic xmlns:a="http://schemas.openxmlformats.org/drawingml/2006/main">
                  <a:graphicData uri="http://schemas.microsoft.com/office/word/2010/wordprocessingShape">
                    <wps:wsp>
                      <wps:cNvSpPr/>
                      <wps:spPr>
                        <a:xfrm flipV="1">
                          <a:off x="0" y="0"/>
                          <a:ext cx="5800725" cy="1905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pt;margin-top:21.45pt;height:1.5pt;width:456.75pt;z-index:251660288;mso-width-relative:page;mso-height-relative:page;" fillcolor="#FFFFFF" filled="t" stroked="t" coordsize="21600,21600" o:gfxdata="UEsDBAoAAAAAAIdO4kAAAAAAAAAAAAAAAAAEAAAAZHJzL1BLAwQUAAAACACHTuJAer31iNUAAAAH&#10;AQAADwAAAGRycy9kb3ducmV2LnhtbE2PzU7DMBCE70i8g7VIXCpqp2oRSeP0gEQlpHJoywNs422S&#10;Eq+j2P3h7VlOcJyd1cw35erme3WhMXaBLWRTA4q4Dq7jxsLn/u3pBVRMyA77wGThmyKsqvu7EgsX&#10;rrylyy41SkI4FmihTWkotI51Sx7jNAzE4h3D6DGJHBvtRrxKuO/1zJhn7bFjaWhxoNeW6q/d2VuI&#10;E958bDdSuic6mtNkWK/9u7WPD5lZgkp0S3/P8Isv6FAJ0yGc2UXVi5YlycJ8loMSO8/mC1AHOSxy&#10;0FWp//NXP1BLAwQUAAAACACHTuJAWM2FsvwBAADzAwAADgAAAGRycy9lMm9Eb2MueG1srVO9jhMx&#10;EO6ReAfLPdlNpMCxyuYKwtEgOOmAfmJ7s5b8J4+TTV6CF0Cig4qSnre54zEYe3MBjiYFLqzxzPib&#10;+T6PF5d7a9hORdTetXw6qTlTTnip3abl799dPbngDBM4CcY71fKDQn65fPxoMYRGzXzvjVSREYjD&#10;Zggt71MKTVWh6JUFnPigHAU7Hy0kOsZNJSMMhG5NNavrp9XgowzRC4VI3tUY5EfEeA6g7zot1MqL&#10;rVUujahRGUhECXsdkC9Lt12nRHrbdagSMy0npqnsVITsdd6r5QKaTYTQa3FsAc5p4QEnC9pR0RPU&#10;ChKwbdT/QFktokffpYnwthqJFEWIxbR+oM1ND0EVLiQ1hpPo+P9gxZvddWRa0iRw5sDSg999+n77&#10;8cvPH59pv/v2lU2zSEPAhnJvwnU8npDMzHjfRcs6o8OHjJE9xIrti8SHk8Rqn5gg5/yirp/N5pwJ&#10;ik2f1/PyBNUIky+HiOmV8pZlo+VGu6wANLB7jYlKU+p9SnYbx4Z7ICaA5rGjOSB4G4gTuk25jN5o&#10;eaWNyVcwbtYvTGQ7yDNRVmZIwH+l5SorwH7MK6FxWnoF8qWTLB0CqeXok/Dcg1WSM6PoT2WLAKFJ&#10;oM05mVTaOOogizzKmq21lwd6m22IetOTFOUdSg7NQun3OLd52P48F6Tff3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q99YjVAAAABwEAAA8AAAAAAAAAAQAgAAAAIgAAAGRycy9kb3ducmV2Lnht&#10;bFBLAQIUABQAAAAIAIdO4kBYzYWy/AEAAPMDAAAOAAAAAAAAAAEAIAAAACQBAABkcnMvZTJvRG9j&#10;LnhtbFBLBQYAAAAABgAGAFkBAACSBQAAAAA=&#10;">
                <v:path arrowok="t"/>
                <v:fill on="t" focussize="0,0"/>
                <v:stroke weight="1.5pt"/>
                <v:imagedata o:title=""/>
                <o:lock v:ext="edit" aspectratio="f"/>
              </v:line>
            </w:pict>
          </mc:Fallback>
        </mc:AlternateContent>
      </w:r>
      <w:r>
        <w:rPr>
          <w:rFonts w:hint="eastAsia" w:ascii="仿宋_GB2312" w:hAnsi="仿宋_GB2312" w:eastAsia="仿宋_GB2312" w:cs="仿宋_GB2312"/>
          <w:bCs/>
          <w:sz w:val="32"/>
          <w:szCs w:val="32"/>
          <w:u w:val="none"/>
        </w:rPr>
        <w:t xml:space="preserve"> 呼玛县应急管理局                20</w:t>
      </w:r>
      <w:r>
        <w:rPr>
          <w:rFonts w:hint="eastAsia" w:ascii="仿宋_GB2312" w:hAnsi="仿宋_GB2312" w:cs="仿宋_GB2312"/>
          <w:bCs/>
          <w:sz w:val="32"/>
          <w:szCs w:val="32"/>
          <w:u w:val="none"/>
        </w:rPr>
        <w:t>2</w:t>
      </w:r>
      <w:r>
        <w:rPr>
          <w:rFonts w:hint="eastAsia" w:ascii="仿宋_GB2312" w:hAnsi="仿宋_GB2312" w:cs="仿宋_GB2312"/>
          <w:bCs/>
          <w:sz w:val="32"/>
          <w:szCs w:val="32"/>
          <w:u w:val="none"/>
          <w:lang w:val="en-US" w:eastAsia="zh-CN"/>
        </w:rPr>
        <w:t>5</w:t>
      </w:r>
      <w:r>
        <w:rPr>
          <w:rFonts w:hint="eastAsia" w:ascii="仿宋_GB2312" w:hAnsi="仿宋_GB2312" w:eastAsia="仿宋_GB2312" w:cs="仿宋_GB2312"/>
          <w:bCs/>
          <w:sz w:val="32"/>
          <w:szCs w:val="32"/>
          <w:u w:val="none"/>
        </w:rPr>
        <w:t>年</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月</w:t>
      </w:r>
      <w:r>
        <w:rPr>
          <w:rFonts w:hint="eastAsia" w:ascii="仿宋_GB2312" w:hAnsi="仿宋_GB2312" w:eastAsia="仿宋_GB2312" w:cs="仿宋_GB2312"/>
          <w:bCs/>
          <w:sz w:val="32"/>
          <w:szCs w:val="32"/>
          <w:u w:val="none"/>
          <w:lang w:val="en-US" w:eastAsia="zh-CN"/>
        </w:rPr>
        <w:t>27</w:t>
      </w:r>
      <w:r>
        <w:rPr>
          <w:rFonts w:hint="eastAsia" w:ascii="仿宋_GB2312" w:hAnsi="仿宋_GB2312" w:eastAsia="仿宋_GB2312" w:cs="仿宋_GB2312"/>
          <w:bCs/>
          <w:sz w:val="32"/>
          <w:szCs w:val="32"/>
          <w:u w:val="none"/>
        </w:rPr>
        <w:t xml:space="preserve">日印发 </w:t>
      </w:r>
    </w:p>
    <w:p w14:paraId="1A6094EB">
      <w:pPr>
        <w:spacing w:line="320" w:lineRule="exact"/>
        <w:rPr>
          <w:rFonts w:hint="eastAsia" w:ascii="仿宋_GB2312" w:hAnsi="仿宋_GB2312" w:eastAsia="仿宋_GB2312" w:cs="仿宋_GB2312"/>
          <w:bCs/>
          <w:sz w:val="32"/>
          <w:szCs w:val="32"/>
          <w:u w:val="none"/>
        </w:rPr>
      </w:pPr>
    </w:p>
    <w:p w14:paraId="5614E3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600000000000000"/>
    <w:charset w:val="86"/>
    <w:family w:val="auto"/>
    <w:pitch w:val="default"/>
    <w:sig w:usb0="00000000" w:usb1="00000000" w:usb2="00000012" w:usb3="00000000" w:csb0="00160001" w:csb1="1203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4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4">
    <w:name w:val="Normal Indent"/>
    <w:basedOn w:val="1"/>
    <w:unhideWhenUsed/>
    <w:qFormat/>
    <w:uiPriority w:val="0"/>
    <w:pPr>
      <w:adjustRightInd w:val="0"/>
      <w:spacing w:line="640" w:lineRule="exact"/>
      <w:ind w:firstLine="420" w:firstLineChars="200"/>
    </w:pPr>
    <w:rPr>
      <w:rFonts w:ascii="Times New Roman" w:hAnsi="Times New Roman" w:eastAsia="仿宋" w:cs="Times New Roman"/>
      <w:kern w:val="0"/>
      <w:sz w:val="21"/>
      <w:szCs w:val="20"/>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2025-03-13T06:52:34Z</dcterms:created>
  <dc:creator>Administrator</dc:creator>
  <cp:lastModifiedBy>阿达</cp:lastModifiedBy>
  <dcterms:modified xsi:type="dcterms:W3CDTF">2025-03-13T06:53:35Z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eyJoZGlkIjoiMDEyZDA1NjM1YTk2ZjVkZWZmOWNmYzQwYjI1YTkzNTAiLCJ1c2VySWQiOiI1MTA0NjA4NTAifQ==</vt:lpwstr>
  </property>
  <property fmtid="{D5CDD505-2E9C-101B-9397-08002B2CF9AE}" pid="4" name="ICV">
    <vt:lpwstr>C252C215E06B4FBDA4E3409E3F49BF5D_12</vt:lpwstr>
  </property>
</Properties>
</file>