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AB8CF">
      <w:pPr>
        <w:jc w:val="center"/>
        <w:rPr>
          <w:rFonts w:hint="eastAsia" w:ascii="仿宋_GB2312" w:eastAsia="仿宋_GB2312"/>
          <w:sz w:val="32"/>
        </w:rPr>
      </w:pPr>
    </w:p>
    <w:p w14:paraId="0748088F">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50564103">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58AD5863">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yellow"/>
        </w:rPr>
      </w:pPr>
    </w:p>
    <w:p w14:paraId="0711E3E2">
      <w:pPr>
        <w:keepNext w:val="0"/>
        <w:keepLines w:val="0"/>
        <w:pageBreakBefore w:val="0"/>
        <w:widowControl w:val="0"/>
        <w:kinsoku/>
        <w:wordWrap/>
        <w:overflowPunct/>
        <w:topLinePunct w:val="0"/>
        <w:autoSpaceDE/>
        <w:autoSpaceDN/>
        <w:bidi w:val="0"/>
        <w:adjustRightInd/>
        <w:snapToGrid/>
        <w:spacing w:before="0" w:beforeLines="0" w:after="0" w:afterLines="0" w:line="360" w:lineRule="exact"/>
        <w:ind w:left="0" w:leftChars="0" w:right="0" w:rightChars="0" w:firstLine="0" w:firstLineChars="0"/>
        <w:jc w:val="center"/>
        <w:textAlignment w:val="auto"/>
        <w:outlineLvl w:val="9"/>
        <w:rPr>
          <w:rFonts w:hint="eastAsia" w:ascii="仿宋_GB2312" w:eastAsia="仿宋_GB2312"/>
          <w:sz w:val="28"/>
          <w:szCs w:val="28"/>
          <w:highlight w:val="none"/>
        </w:rPr>
      </w:pPr>
      <w:r>
        <w:rPr>
          <w:color w:val="000000"/>
          <w:highlight w:val="none"/>
        </w:rPr>
        <mc:AlternateContent>
          <mc:Choice Requires="wps">
            <w:drawing>
              <wp:anchor distT="0" distB="0" distL="114300" distR="114300" simplePos="0" relativeHeight="251660288" behindDoc="1" locked="0" layoutInCell="1" allowOverlap="1">
                <wp:simplePos x="0" y="0"/>
                <wp:positionH relativeFrom="column">
                  <wp:posOffset>36830</wp:posOffset>
                </wp:positionH>
                <wp:positionV relativeFrom="paragraph">
                  <wp:posOffset>252730</wp:posOffset>
                </wp:positionV>
                <wp:extent cx="5203825" cy="15875"/>
                <wp:effectExtent l="0" t="0" r="0" b="0"/>
                <wp:wrapNone/>
                <wp:docPr id="2" name="直接箭头连接符 2"/>
                <wp:cNvGraphicFramePr/>
                <a:graphic xmlns:a="http://schemas.openxmlformats.org/drawingml/2006/main">
                  <a:graphicData uri="http://schemas.microsoft.com/office/word/2010/wordprocessingShape">
                    <wps:wsp>
                      <wps:cNvCnPr/>
                      <wps:spPr>
                        <a:xfrm flipV="1">
                          <a:off x="0" y="0"/>
                          <a:ext cx="5203825" cy="15875"/>
                        </a:xfrm>
                        <a:prstGeom prst="straightConnector1">
                          <a:avLst/>
                        </a:prstGeom>
                        <a:ln w="19050" cap="flat" cmpd="sng">
                          <a:solidFill>
                            <a:srgbClr val="FF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flip:y;margin-left:2.9pt;margin-top:19.9pt;height:1.25pt;width:409.75pt;z-index:-251656192;mso-width-relative:page;mso-height-relative:page;" filled="f" stroked="t" coordsize="21600,21600" o:gfxdata="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DlTqQ1wAAAAcBAAAPAAAAAAAAAAEAIAAA&#10;ACIAAABkcnMvZG93bnJldi54bWxQSwECFAAUAAAACACHTuJAXZiwZA0CAAAFBAAADgAAAAAAAAAB&#10;ACAAAAAmAQAAZHJzL2Uyb0RvYy54bWxQSwUGAAAAAAYABgBZAQAApQUAAAAA&#10;">
                <v:fill on="f" focussize="0,0"/>
                <v:stroke weight="1.5pt" color="#FF0000" joinstyle="round"/>
                <v:imagedata o:title=""/>
                <o:lock v:ext="edit" aspectratio="f"/>
              </v:shape>
            </w:pict>
          </mc:Fallback>
        </mc:AlternateContent>
      </w:r>
      <w:r>
        <w:rPr>
          <w:rFonts w:hint="eastAsia" w:ascii="仿宋_GB2312" w:eastAsia="仿宋_GB2312"/>
          <w:sz w:val="32"/>
          <w:szCs w:val="32"/>
          <w:highlight w:val="none"/>
        </w:rPr>
        <w:t>呼环</w:t>
      </w:r>
      <w:r>
        <w:rPr>
          <w:rFonts w:hint="eastAsia" w:ascii="仿宋_GB2312" w:eastAsia="仿宋_GB2312"/>
          <w:sz w:val="32"/>
          <w:szCs w:val="32"/>
          <w:highlight w:val="none"/>
          <w:lang w:eastAsia="zh-CN"/>
        </w:rPr>
        <w:t>建字</w:t>
      </w:r>
      <w:r>
        <w:rPr>
          <w:rFonts w:hint="eastAsia" w:ascii="仿宋_GB2312" w:hAnsi="仿宋_GB2312" w:eastAsia="仿宋_GB2312" w:cs="仿宋_GB2312"/>
          <w:sz w:val="32"/>
          <w:szCs w:val="32"/>
          <w:highlight w:val="none"/>
        </w:rPr>
        <w:t>〔</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6</w:t>
      </w:r>
      <w:r>
        <w:rPr>
          <w:rFonts w:hint="eastAsia" w:ascii="仿宋_GB2312" w:hAnsi="仿宋_GB2312" w:eastAsia="仿宋_GB2312" w:cs="仿宋_GB2312"/>
          <w:sz w:val="32"/>
          <w:szCs w:val="32"/>
          <w:highlight w:val="none"/>
        </w:rPr>
        <w:t>〕</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号</w:t>
      </w:r>
    </w:p>
    <w:p w14:paraId="1961DE43">
      <w:pPr>
        <w:widowControl/>
        <w:spacing w:line="560" w:lineRule="exact"/>
        <w:jc w:val="both"/>
        <w:rPr>
          <w:rFonts w:hint="eastAsia" w:ascii="方正小标宋简体" w:hAnsi="方正小标宋简体" w:eastAsia="方正小标宋简体" w:cs="方正小标宋简体"/>
          <w:color w:val="000000"/>
          <w:kern w:val="0"/>
          <w:sz w:val="44"/>
          <w:szCs w:val="44"/>
          <w:lang w:bidi="ar"/>
        </w:rPr>
      </w:pPr>
    </w:p>
    <w:p w14:paraId="0CFF41C6">
      <w:pPr>
        <w:jc w:val="center"/>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bidi="ar"/>
        </w:rPr>
        <w:t>关于</w:t>
      </w:r>
      <w:r>
        <w:rPr>
          <w:rFonts w:hint="eastAsia" w:ascii="方正小标宋简体" w:hAnsi="方正小标宋简体" w:eastAsia="方正小标宋简体" w:cs="方正小标宋简体"/>
          <w:color w:val="000000"/>
          <w:kern w:val="0"/>
          <w:sz w:val="44"/>
          <w:szCs w:val="44"/>
          <w:lang w:val="en-US" w:eastAsia="zh-CN" w:bidi="ar"/>
        </w:rPr>
        <w:t>大兴安岭地区呼玛县JH项目鸥浦乡配套采石场建筑用凝灰岩矿项目</w:t>
      </w:r>
    </w:p>
    <w:p w14:paraId="55097D70">
      <w:pPr>
        <w:jc w:val="center"/>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color w:val="000000"/>
          <w:kern w:val="0"/>
          <w:sz w:val="44"/>
          <w:szCs w:val="44"/>
          <w:lang w:bidi="ar"/>
        </w:rPr>
        <w:t>环境影响报告表的批复</w:t>
      </w:r>
      <w:bookmarkStart w:id="0" w:name="_GoBack"/>
      <w:bookmarkEnd w:id="0"/>
    </w:p>
    <w:p w14:paraId="2FE28D13">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大兴安岭呼玛对俄经济贸易园区开发有限责任公司：</w:t>
      </w:r>
    </w:p>
    <w:p w14:paraId="5263F9F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你单位报送的由</w:t>
      </w:r>
      <w:r>
        <w:rPr>
          <w:rFonts w:hint="eastAsia" w:ascii="仿宋_GB2312" w:hAnsi="仿宋_GB2312" w:eastAsia="仿宋_GB2312" w:cs="仿宋_GB2312"/>
          <w:color w:val="auto"/>
          <w:sz w:val="32"/>
          <w:szCs w:val="32"/>
          <w:lang w:val="en-US" w:eastAsia="zh-CN"/>
        </w:rPr>
        <w:t>黑龙江广赢工程管理有限公司</w:t>
      </w:r>
      <w:r>
        <w:rPr>
          <w:rFonts w:hint="eastAsia" w:ascii="仿宋_GB2312" w:hAnsi="仿宋_GB2312" w:eastAsia="仿宋_GB2312" w:cs="仿宋_GB2312"/>
          <w:color w:val="auto"/>
          <w:sz w:val="32"/>
          <w:szCs w:val="32"/>
        </w:rPr>
        <w:t>编写的《</w:t>
      </w:r>
      <w:r>
        <w:rPr>
          <w:rFonts w:hint="eastAsia" w:ascii="仿宋_GB2312" w:hAnsi="仿宋_GB2312" w:eastAsia="仿宋_GB2312" w:cs="仿宋_GB2312"/>
          <w:color w:val="auto"/>
          <w:sz w:val="32"/>
          <w:szCs w:val="32"/>
          <w:lang w:val="en-US" w:eastAsia="zh-CN"/>
        </w:rPr>
        <w:t>大兴安岭地区呼玛县JH项目鸥浦乡配套采石场建筑用凝灰岩矿项目生态</w:t>
      </w:r>
      <w:r>
        <w:rPr>
          <w:rFonts w:hint="eastAsia" w:ascii="仿宋_GB2312" w:hAnsi="仿宋_GB2312" w:eastAsia="仿宋_GB2312" w:cs="仿宋_GB2312"/>
          <w:color w:val="auto"/>
          <w:sz w:val="32"/>
          <w:szCs w:val="32"/>
        </w:rPr>
        <w:t>环境影响报告表》(以</w:t>
      </w:r>
      <w:r>
        <w:rPr>
          <w:rFonts w:hint="eastAsia" w:ascii="仿宋_GB2312" w:hAnsi="仿宋_GB2312" w:eastAsia="仿宋_GB2312" w:cs="仿宋_GB2312"/>
          <w:color w:val="auto"/>
          <w:sz w:val="32"/>
          <w:szCs w:val="32"/>
          <w:lang w:eastAsia="zh-CN"/>
        </w:rPr>
        <w:t>下简</w:t>
      </w:r>
      <w:r>
        <w:rPr>
          <w:rFonts w:hint="eastAsia" w:ascii="仿宋_GB2312" w:hAnsi="仿宋_GB2312" w:eastAsia="仿宋_GB2312" w:cs="仿宋_GB2312"/>
          <w:color w:val="auto"/>
          <w:sz w:val="32"/>
          <w:szCs w:val="32"/>
        </w:rPr>
        <w:t>称“报告表”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已收悉，经研究，现批复如下</w:t>
      </w:r>
      <w:r>
        <w:rPr>
          <w:rFonts w:hint="eastAsia" w:ascii="仿宋_GB2312" w:hAnsi="仿宋_GB2312" w:eastAsia="仿宋_GB2312" w:cs="仿宋_GB2312"/>
          <w:color w:val="auto"/>
          <w:sz w:val="32"/>
          <w:szCs w:val="32"/>
          <w:lang w:eastAsia="zh-CN"/>
        </w:rPr>
        <w:t>：</w:t>
      </w:r>
    </w:p>
    <w:p w14:paraId="40FD6D4C">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项目基本情况</w:t>
      </w:r>
    </w:p>
    <w:p w14:paraId="47FEDA6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highlight w:val="none"/>
          <w:lang w:val="en-US" w:eastAsia="zh-CN"/>
        </w:rPr>
        <w:t>本项目位于黑龙江省大兴安岭地区呼玛县鸥浦乡，</w:t>
      </w:r>
      <w:r>
        <w:rPr>
          <w:rFonts w:hint="eastAsia" w:ascii="仿宋_GB2312" w:hAnsi="仿宋_GB2312" w:eastAsia="仿宋_GB2312" w:cs="仿宋_GB2312"/>
          <w:color w:val="auto"/>
          <w:sz w:val="32"/>
          <w:szCs w:val="32"/>
          <w:lang w:eastAsia="zh-CN"/>
        </w:rPr>
        <w:t>矿区总占地面积为</w:t>
      </w:r>
      <w:r>
        <w:rPr>
          <w:rFonts w:hint="eastAsia" w:ascii="仿宋_GB2312" w:hAnsi="仿宋_GB2312" w:eastAsia="仿宋_GB2312" w:cs="仿宋_GB2312"/>
          <w:color w:val="auto"/>
          <w:sz w:val="32"/>
          <w:szCs w:val="32"/>
          <w:lang w:val="en-US" w:eastAsia="zh-CN"/>
        </w:rPr>
        <w:t>24287.2</w:t>
      </w:r>
      <w:r>
        <w:rPr>
          <w:rFonts w:hint="eastAsia" w:ascii="仿宋_GB2312" w:hAnsi="仿宋_GB2312" w:eastAsia="仿宋_GB2312" w:cs="仿宋_GB2312"/>
          <w:color w:val="auto"/>
          <w:sz w:val="32"/>
          <w:szCs w:val="32"/>
          <w:lang w:eastAsia="zh-CN"/>
        </w:rPr>
        <w:t>m</w:t>
      </w:r>
      <w:r>
        <w:rPr>
          <w:rFonts w:hint="eastAsia" w:ascii="仿宋_GB2312" w:hAnsi="仿宋_GB2312" w:eastAsia="仿宋_GB2312" w:cs="仿宋_GB2312"/>
          <w:color w:val="auto"/>
          <w:sz w:val="32"/>
          <w:szCs w:val="32"/>
          <w:vertAlign w:val="superscript"/>
          <w:lang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项目露天开采建筑用凝灰岩6.0万</w:t>
      </w:r>
      <w:r>
        <w:rPr>
          <w:rFonts w:hint="eastAsia" w:ascii="仿宋_GB2312" w:hAnsi="仿宋_GB2312" w:eastAsia="仿宋_GB2312" w:cs="仿宋_GB2312"/>
          <w:color w:val="auto"/>
          <w:sz w:val="32"/>
          <w:szCs w:val="32"/>
          <w:lang w:eastAsia="zh-CN"/>
        </w:rPr>
        <w:t>m</w:t>
      </w:r>
      <w:r>
        <w:rPr>
          <w:rFonts w:hint="eastAsia" w:ascii="仿宋_GB2312" w:hAnsi="仿宋_GB2312" w:eastAsia="仿宋_GB2312" w:cs="仿宋_GB2312"/>
          <w:color w:val="auto"/>
          <w:sz w:val="32"/>
          <w:szCs w:val="32"/>
          <w:vertAlign w:val="superscript"/>
          <w:lang w:eastAsia="zh-CN"/>
        </w:rPr>
        <w:t>3</w:t>
      </w:r>
      <w:r>
        <w:rPr>
          <w:rFonts w:hint="eastAsia" w:ascii="仿宋_GB2312" w:hAnsi="仿宋_GB2312" w:eastAsia="仿宋_GB2312" w:cs="仿宋_GB2312"/>
          <w:color w:val="auto"/>
          <w:sz w:val="32"/>
          <w:szCs w:val="32"/>
          <w:lang w:eastAsia="zh-CN"/>
        </w:rPr>
        <w:t>/a，矿山服务年限为</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年。</w:t>
      </w:r>
      <w:r>
        <w:rPr>
          <w:rFonts w:hint="eastAsia" w:ascii="仿宋_GB2312" w:hAnsi="仿宋_GB2312" w:eastAsia="仿宋_GB2312" w:cs="仿宋_GB2312"/>
          <w:color w:val="auto"/>
          <w:sz w:val="32"/>
          <w:szCs w:val="32"/>
          <w:lang w:val="en-US" w:eastAsia="zh-CN"/>
        </w:rPr>
        <w:t>配套建设表土场、成品堆场、雨水收集池、</w:t>
      </w:r>
      <w:r>
        <w:rPr>
          <w:rFonts w:hint="eastAsia" w:ascii="仿宋_GB2312" w:hAnsi="仿宋_GB2312" w:eastAsia="仿宋_GB2312" w:cs="仿宋_GB2312"/>
          <w:sz w:val="32"/>
          <w:szCs w:val="32"/>
          <w:lang w:val="en-US" w:eastAsia="zh-CN"/>
        </w:rPr>
        <w:t>截排水沟</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p>
    <w:p w14:paraId="69DFBE4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所在区域无自然保护区、用水水源保护区、风景名胜区、森林公园、地质公园、重要湿地等环境敏感区。在全面落实《报告表》和本批复提出的各项生态环境保护措施后，对环境的不利影响可以得到有效缓解和控制。因此，我局原则同意《报告表》的环境影响评价总体结论和各项生态环境保护措施。</w:t>
      </w:r>
    </w:p>
    <w:p w14:paraId="14CD3347">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项目建设和运行管理中应重点做好以下工作</w:t>
      </w:r>
    </w:p>
    <w:p w14:paraId="56968C3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一）严格落实各项大气污染防治措施，确保大气污染物排放符合国家和地方相关标准和政策要求。该项目施工现场应设置围挡，运输车辆应采取苫盖遮盖、洒水降尘等措施，施工期产生的颗粒物应符合《大气污染物综合排放标准》(GB16297-1996）要求。</w:t>
      </w:r>
      <w:r>
        <w:rPr>
          <w:rFonts w:hint="eastAsia" w:ascii="仿宋_GB2312" w:hAnsi="仿宋_GB2312" w:eastAsia="仿宋_GB2312" w:cs="仿宋_GB2312"/>
          <w:sz w:val="32"/>
          <w:szCs w:val="32"/>
          <w:highlight w:val="none"/>
          <w:lang w:val="en-US" w:eastAsia="zh-CN"/>
        </w:rPr>
        <w:t>该项目运营期在剥离表土过程中采用洒水设备及洒水车进行洒水抑尘；对集堆铲装等工序洒水降尘；对表土场和成品堆场采取洒水降尘，表土堆场表面播撒草籽；进出采石场运输车辆产生道路扬尘，采用洒水的方法减少粉尘污染；对运输道路适当洒水降尘。厂界颗粒物浓度可满足《大气污染物综合排放标准》（GB16297-1996）表2中无组织排放监控浓度限值要求。</w:t>
      </w:r>
    </w:p>
    <w:p w14:paraId="20CCDD9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水环境影响及保护措施。施工期，生活污水排入防渗旱厕定期清淘，外运堆肥；设置截排水沟，雨水经沉淀后，用于施工场地洒水抑尘。运营期，生活污水排入防渗旱厕，定期清掏，外运堆肥；车辆冲洗废水排入沉淀池，经沉淀后回用于洒水降尘；雨水排入采区雨水收集池后回用于厂区洒水降尘，不外排。废水均得到合理处置，对地表水环境影响小。</w:t>
      </w:r>
    </w:p>
    <w:p w14:paraId="546FA78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声环境影响及保护措施。施工噪声和运营期破碎、筛分等工序产生的噪声将对相关区域产生一定不利影响应严格落实噪声污染防治措施，施工期，选用低噪声设备，合理安排施工时间，施工场界噪声应符合《建筑施工噪声排放标准》（GB12523-2025）要求。运营期，选择低噪声设备，加强设备的保养和维护，要求运输车辆限速限量行驶，夜间禁止运输，本项目厂界噪声均满足《工业企业厂界环境噪声排放标准》（GB12348-2008）1类标准要求。运输的道路沿线区域噪声均满足《声环境质量标准》（GB3096-2008）中1类标准。</w:t>
      </w:r>
    </w:p>
    <w:p w14:paraId="7C65049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严格落实固体废物污染防治措施。根据国家和地方的有关规定，按照“减量化、资源化、无害化”原则，对固体废物进行分类收集、处理和处置。该项目施工期产生的生活垃圾集中收集，由市政环卫部门清运处置。营运期间产生的生活垃圾集中收集后交由环卫部门处置。表土放入表土堆场，后期用于复垦。该项目固体废物要全部进行无害化、减量化、资源化处理</w:t>
      </w:r>
    </w:p>
    <w:p w14:paraId="4C4A95A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严格落实生态环境保护措施。施工期严格控制占地，禁止占用矿区外林地；对占用林地进行表土剥离；施工期设置截排水沟，雨水经沉淀后，用于施工场地洒水抑尘；增强保护野生动物的意识；合理安排施工布局及进度，禁止夜间施工，减少灯光对野生动物的干扰。</w:t>
      </w:r>
    </w:p>
    <w:p w14:paraId="6BA40EB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运行期采取了相应的废气治理措施，废气达标排放，减少粉尘对矿址周围植物影响；在采区内部设置截排水沟，采区内汇水经截排水沟自流至雨水收集池，经沉淀后用于矿区洒水抑尘。矿山开采挖掘前，对矿址内占用的林地进行表土剥离，剥离的表土堆放在表土场内，表面播撒草种，防止土壤肥力降低；在表土场四周设置挡土墙，防止水土流失。</w:t>
      </w:r>
    </w:p>
    <w:p w14:paraId="338C384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闭矿期进行土地复垦，按照《矿山地质环境保护与土地复垦方案》对矿区占地进行表土回填，土地平整及植被恢复。项目修复方向为乔木林地，树种均选择当地常见种类樟子松等。</w:t>
      </w:r>
    </w:p>
    <w:p w14:paraId="41C2C2C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该项目必须符合所在地国土空间规划以及“三线一单”等要求后方可开工建设。项目建设必须严格执行配套的环境保护设施与主体工程同时设计、同时施工、同时投产使用的“三同时”制度。项目竣工后，应按规定程序进行竣工环境保护验收。经验收合格后，方可正式投入运营。</w:t>
      </w:r>
    </w:p>
    <w:p w14:paraId="6ECD90E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环境影响报告表经批准后，项目的性质、规模、工艺、地点或者污染防治措施发生重大变动的，应当重新报批该项目的环境影响报告表。自环境影响报告表批复文件批准之日起，如超过5年方决定开工建设的，环境影响报告表应当重新审核。</w:t>
      </w:r>
    </w:p>
    <w:p w14:paraId="289D815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在项目发生实际排污行为之前，按照经批准的环境影响评价文件认真梳理并落实各项环境保护措施，将污染物排放清单及其他有关内容载入排污许可证，有机衔接环境影响评价与排污许可证要求，并按证排污。</w:t>
      </w:r>
    </w:p>
    <w:p w14:paraId="7BFF975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highlight w:val="none"/>
          <w:lang w:val="en-US" w:eastAsia="zh-CN"/>
        </w:rPr>
        <w:t>由呼玛生态环境局综合执法队组织开</w:t>
      </w:r>
      <w:r>
        <w:rPr>
          <w:rFonts w:hint="eastAsia" w:ascii="仿宋_GB2312" w:hAnsi="仿宋_GB2312" w:eastAsia="仿宋_GB2312" w:cs="仿宋_GB2312"/>
          <w:sz w:val="32"/>
          <w:szCs w:val="32"/>
          <w:lang w:val="en-US" w:eastAsia="zh-CN"/>
        </w:rPr>
        <w:t>展该项目事中事后监管工作。</w:t>
      </w:r>
    </w:p>
    <w:p w14:paraId="71552218">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sz w:val="32"/>
          <w:szCs w:val="32"/>
          <w:highlight w:val="none"/>
          <w:lang w:val="en-US" w:eastAsia="zh-CN"/>
        </w:rPr>
      </w:pPr>
    </w:p>
    <w:p w14:paraId="33373348">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sz w:val="32"/>
          <w:szCs w:val="32"/>
          <w:highlight w:val="none"/>
          <w:lang w:val="en-US" w:eastAsia="zh-CN"/>
        </w:rPr>
      </w:pPr>
    </w:p>
    <w:p w14:paraId="357E54F0">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大兴安岭地区呼玛生态环境局</w:t>
      </w:r>
    </w:p>
    <w:p w14:paraId="67043988">
      <w:pPr>
        <w:keepNext w:val="0"/>
        <w:keepLines w:val="0"/>
        <w:pageBreakBefore w:val="0"/>
        <w:widowControl w:val="0"/>
        <w:kinsoku/>
        <w:wordWrap/>
        <w:overflowPunct/>
        <w:topLinePunct w:val="0"/>
        <w:autoSpaceDE/>
        <w:autoSpaceDN/>
        <w:bidi w:val="0"/>
        <w:adjustRightInd/>
        <w:snapToGrid/>
        <w:spacing w:line="500" w:lineRule="exact"/>
        <w:ind w:firstLine="5440" w:firstLineChars="17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2026年10月9日</w:t>
      </w:r>
    </w:p>
    <w:p w14:paraId="08D1024B">
      <w:pPr>
        <w:pStyle w:val="2"/>
        <w:ind w:left="0" w:leftChars="0" w:firstLine="0" w:firstLineChars="0"/>
        <w:rPr>
          <w:rFonts w:hint="eastAsia" w:ascii="仿宋_GB2312" w:hAnsi="仿宋_GB2312" w:eastAsia="仿宋_GB2312" w:cs="仿宋_GB2312"/>
          <w:sz w:val="32"/>
          <w:szCs w:val="32"/>
          <w:highlight w:val="yellow"/>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323F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75067">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CE75067">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B0AC6B"/>
    <w:multiLevelType w:val="singleLevel"/>
    <w:tmpl w:val="7CB0AC6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5NGZiYTIxYjY1NjRkZWE3ODA4MzUwZTUwMGQwYWYifQ=="/>
  </w:docVars>
  <w:rsids>
    <w:rsidRoot w:val="7B07308D"/>
    <w:rsid w:val="009D32B3"/>
    <w:rsid w:val="039259E8"/>
    <w:rsid w:val="04F517BF"/>
    <w:rsid w:val="08AA5D9B"/>
    <w:rsid w:val="098B2B38"/>
    <w:rsid w:val="134F4483"/>
    <w:rsid w:val="14DA74C7"/>
    <w:rsid w:val="189A5F55"/>
    <w:rsid w:val="1BBB0126"/>
    <w:rsid w:val="1F5062A3"/>
    <w:rsid w:val="20763FDF"/>
    <w:rsid w:val="23445D00"/>
    <w:rsid w:val="23F517A7"/>
    <w:rsid w:val="28F01C12"/>
    <w:rsid w:val="2A682625"/>
    <w:rsid w:val="343C5D73"/>
    <w:rsid w:val="352C4FF2"/>
    <w:rsid w:val="369A102E"/>
    <w:rsid w:val="378C0CA8"/>
    <w:rsid w:val="395F6D01"/>
    <w:rsid w:val="48952AF1"/>
    <w:rsid w:val="49804FAC"/>
    <w:rsid w:val="4BAB0EDD"/>
    <w:rsid w:val="4CAE74C1"/>
    <w:rsid w:val="4D3313B7"/>
    <w:rsid w:val="536F35A6"/>
    <w:rsid w:val="5AB55661"/>
    <w:rsid w:val="5CAB183A"/>
    <w:rsid w:val="666C6A5F"/>
    <w:rsid w:val="693370F8"/>
    <w:rsid w:val="7254544D"/>
    <w:rsid w:val="780505F7"/>
    <w:rsid w:val="793C6201"/>
    <w:rsid w:val="7B07308D"/>
    <w:rsid w:val="7B525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style>
  <w:style w:type="paragraph" w:styleId="3">
    <w:name w:val="Body Text Indent 2"/>
    <w:basedOn w:val="1"/>
    <w:qFormat/>
    <w:uiPriority w:val="0"/>
    <w:pPr>
      <w:spacing w:after="120" w:afterLines="0" w:afterAutospacing="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annotation reference"/>
    <w:basedOn w:val="8"/>
    <w:semiHidden/>
    <w:qFormat/>
    <w:uiPriority w:val="0"/>
    <w:rPr>
      <w:sz w:val="21"/>
    </w:rPr>
  </w:style>
  <w:style w:type="paragraph" w:customStyle="1" w:styleId="10">
    <w:name w:val="0正文"/>
    <w:basedOn w:val="1"/>
    <w:qFormat/>
    <w:uiPriority w:val="0"/>
    <w:pPr>
      <w:spacing w:line="360" w:lineRule="auto"/>
      <w:ind w:firstLine="720" w:firstLineChars="200"/>
      <w:jc w:val="left"/>
    </w:pPr>
    <w:rPr>
      <w:kern w:val="0"/>
      <w:sz w:val="24"/>
    </w:rPr>
  </w:style>
  <w:style w:type="paragraph" w:customStyle="1" w:styleId="11">
    <w:name w:val=".表1-1-1内容"/>
    <w:basedOn w:val="1"/>
    <w:qFormat/>
    <w:uiPriority w:val="0"/>
    <w:pPr>
      <w:spacing w:line="300" w:lineRule="exact"/>
      <w:jc w:val="center"/>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1938</Words>
  <Characters>2015</Characters>
  <Lines>0</Lines>
  <Paragraphs>0</Paragraphs>
  <TotalTime>1</TotalTime>
  <ScaleCrop>false</ScaleCrop>
  <LinksUpToDate>false</LinksUpToDate>
  <CharactersWithSpaces>2015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2024-10-25T01:55:00Z</dcterms:created>
  <dc:creator>欢乐家庭</dc:creator>
  <cp:lastModifiedBy>范依雯</cp:lastModifiedBy>
  <dcterms:modified xsi:type="dcterms:W3CDTF">2026-10-09T01:56:52Z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77BE20CE345744A6B41193A565B1EA98_13</vt:lpwstr>
  </property>
  <property fmtid="{D5CDD505-2E9C-101B-9397-08002B2CF9AE}" pid="4" name="KSOTemplateDocerSaveRecord">
    <vt:lpwstr>eyJoZGlkIjoiZDczMTVhNDY0ZTMzZTYyMTJmZmZiN2EyY2I3ZTllNDgiLCJ1c2VySWQiOiI5OTM1MjQwMjAifQ==</vt:lpwstr>
  </property>
</Properties>
</file>