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AB8CF">
      <w:pPr>
        <w:jc w:val="center"/>
        <w:rPr>
          <w:rFonts w:hint="eastAsia" w:ascii="仿宋_GB2312" w:eastAsia="仿宋_GB2312"/>
          <w:sz w:val="32"/>
        </w:rPr>
      </w:pPr>
    </w:p>
    <w:p w14:paraId="0748088F">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7CE9FCC4">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6CDC55BD">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3635E8CD">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0711E3E2">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none"/>
        </w:rPr>
      </w:pPr>
      <w:r>
        <w:rPr>
          <w:color w:val="000000"/>
          <w:highlight w:val="none"/>
        </w:rPr>
        <mc:AlternateContent>
          <mc:Choice Requires="wps">
            <w:drawing>
              <wp:anchor distT="0" distB="0" distL="114300" distR="114300" simplePos="0" relativeHeight="251660288" behindDoc="1" locked="0" layoutInCell="1" allowOverlap="1">
                <wp:simplePos x="0" y="0"/>
                <wp:positionH relativeFrom="column">
                  <wp:posOffset>36830</wp:posOffset>
                </wp:positionH>
                <wp:positionV relativeFrom="paragraph">
                  <wp:posOffset>252730</wp:posOffset>
                </wp:positionV>
                <wp:extent cx="5203825" cy="15875"/>
                <wp:effectExtent l="0" t="0" r="0" b="0"/>
                <wp:wrapNone/>
                <wp:docPr id="2" name="直接箭头连接符 2"/>
                <wp:cNvGraphicFramePr/>
                <a:graphic xmlns:a="http://schemas.openxmlformats.org/drawingml/2006/main">
                  <a:graphicData uri="http://schemas.microsoft.com/office/word/2010/wordprocessingShape">
                    <wps:wsp>
                      <wps:cNvCnPr/>
                      <wps:spPr>
                        <a:xfrm flipV="1">
                          <a:off x="0" y="0"/>
                          <a:ext cx="5203825" cy="15875"/>
                        </a:xfrm>
                        <a:prstGeom prst="straightConnector1">
                          <a:avLst/>
                        </a:prstGeom>
                        <a:ln w="19050" cap="flat" cmpd="sng">
                          <a:solidFill>
                            <a:srgbClr val="FF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2.9pt;margin-top:19.9pt;height:1.25pt;width:409.75pt;z-index:-251656192;mso-width-relative:page;mso-height-relative:page;" filled="f" stroked="t" coordsize="21600,21600" o:gfxdata="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lTqQ1wAAAAcBAAAPAAAAAAAAAAEAIAAA&#10;ACIAAABkcnMvZG93bnJldi54bWxQSwECFAAUAAAACACHTuJAXZiwZA0CAAAFBAAADgAAAAAAAAAB&#10;ACAAAAAmAQAAZHJzL2Uyb0RvYy54bWxQSwUGAAAAAAYABgBZAQAApQUAAAAA&#10;">
                <v:fill on="f" focussize="0,0"/>
                <v:stroke weight="1.5pt" color="#FF0000" joinstyle="round"/>
                <v:imagedata o:title=""/>
                <o:lock v:ext="edit" aspectratio="f"/>
              </v:shape>
            </w:pict>
          </mc:Fallback>
        </mc:AlternateContent>
      </w:r>
      <w:r>
        <w:rPr>
          <w:rFonts w:hint="eastAsia" w:ascii="仿宋_GB2312" w:eastAsia="仿宋_GB2312"/>
          <w:sz w:val="32"/>
          <w:szCs w:val="32"/>
          <w:highlight w:val="none"/>
        </w:rPr>
        <w:t>呼环</w:t>
      </w:r>
      <w:r>
        <w:rPr>
          <w:rFonts w:hint="eastAsia" w:ascii="仿宋_GB2312" w:eastAsia="仿宋_GB2312"/>
          <w:sz w:val="32"/>
          <w:szCs w:val="32"/>
          <w:highlight w:val="none"/>
          <w:lang w:eastAsia="zh-CN"/>
        </w:rPr>
        <w:t>建字</w:t>
      </w:r>
      <w:r>
        <w:rPr>
          <w:rFonts w:hint="eastAsia" w:ascii="仿宋_GB2312" w:hAnsi="仿宋_GB2312" w:eastAsia="仿宋_GB2312" w:cs="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6</w:t>
      </w:r>
      <w:r>
        <w:rPr>
          <w:rFonts w:hint="eastAsia" w:ascii="仿宋_GB2312" w:hAnsi="仿宋_GB2312" w:eastAsia="仿宋_GB2312" w:cs="仿宋_GB2312"/>
          <w:sz w:val="32"/>
          <w:szCs w:val="32"/>
          <w:highlight w:val="none"/>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号</w:t>
      </w:r>
    </w:p>
    <w:p w14:paraId="767C8333">
      <w:pPr>
        <w:keepNext w:val="0"/>
        <w:keepLines w:val="0"/>
        <w:pageBreakBefore w:val="0"/>
        <w:widowControl w:val="0"/>
        <w:kinsoku/>
        <w:wordWrap/>
        <w:overflowPunct/>
        <w:topLinePunct w:val="0"/>
        <w:autoSpaceDE/>
        <w:autoSpaceDN/>
        <w:bidi w:val="0"/>
        <w:adjustRightInd/>
        <w:snapToGrid/>
        <w:spacing w:before="0" w:beforeLines="0" w:after="0" w:afterLines="0" w:line="300" w:lineRule="exact"/>
        <w:ind w:left="0" w:leftChars="0" w:right="0" w:rightChars="0" w:firstLine="0" w:firstLineChars="0"/>
        <w:jc w:val="center"/>
        <w:textAlignment w:val="auto"/>
        <w:outlineLvl w:val="9"/>
        <w:rPr>
          <w:rFonts w:ascii="黑体" w:hAnsi="黑体" w:eastAsia="黑体"/>
          <w:color w:val="FF0000"/>
          <w:sz w:val="18"/>
          <w:szCs w:val="18"/>
          <w:highlight w:val="yellow"/>
          <w:u w:val="thick" w:color="FF0000"/>
        </w:rPr>
      </w:pPr>
    </w:p>
    <w:p w14:paraId="1961DE43">
      <w:pPr>
        <w:widowControl/>
        <w:spacing w:line="560" w:lineRule="exact"/>
        <w:jc w:val="center"/>
        <w:rPr>
          <w:rFonts w:hint="eastAsia" w:ascii="方正小标宋简体" w:hAnsi="方正小标宋简体" w:eastAsia="方正小标宋简体" w:cs="方正小标宋简体"/>
          <w:color w:val="000000"/>
          <w:kern w:val="0"/>
          <w:sz w:val="44"/>
          <w:szCs w:val="44"/>
          <w:lang w:bidi="ar"/>
        </w:rPr>
      </w:pPr>
    </w:p>
    <w:p w14:paraId="7BDFD873">
      <w:pPr>
        <w:jc w:val="center"/>
        <w:rPr>
          <w:rFonts w:hint="eastAsia" w:ascii="方正小标宋简体" w:hAnsi="方正小标宋简体" w:eastAsia="方正小标宋简体" w:cs="方正小标宋简体"/>
          <w:color w:val="000000" w:themeColor="text1"/>
          <w:kern w:val="0"/>
          <w:sz w:val="44"/>
          <w:szCs w:val="44"/>
          <w:lang w:bidi="ar"/>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lang w:bidi="ar"/>
          <w14:textFill>
            <w14:solidFill>
              <w14:schemeClr w14:val="tx1"/>
            </w14:solidFill>
          </w14:textFill>
        </w:rPr>
        <w:t>关于</w:t>
      </w:r>
      <w:r>
        <w:rPr>
          <w:rFonts w:hint="eastAsia" w:ascii="方正小标宋简体" w:hAnsi="方正小标宋简体" w:eastAsia="方正小标宋简体" w:cs="方正小标宋简体"/>
          <w:color w:val="000000" w:themeColor="text1"/>
          <w:kern w:val="0"/>
          <w:sz w:val="44"/>
          <w:szCs w:val="44"/>
          <w:lang w:val="en-US" w:eastAsia="zh-CN" w:bidi="ar"/>
          <w14:textFill>
            <w14:solidFill>
              <w14:schemeClr w14:val="tx1"/>
            </w14:solidFill>
          </w14:textFill>
        </w:rPr>
        <w:t>黑龙江省大兴安岭地区呼玛县湖通河历史遗留矿山生态修复项目</w:t>
      </w:r>
      <w:r>
        <w:rPr>
          <w:rFonts w:hint="eastAsia" w:ascii="方正小标宋简体" w:hAnsi="方正小标宋简体" w:eastAsia="方正小标宋简体" w:cs="方正小标宋简体"/>
          <w:color w:val="000000" w:themeColor="text1"/>
          <w:kern w:val="0"/>
          <w:sz w:val="44"/>
          <w:szCs w:val="44"/>
          <w:lang w:bidi="ar"/>
          <w14:textFill>
            <w14:solidFill>
              <w14:schemeClr w14:val="tx1"/>
            </w14:solidFill>
          </w14:textFill>
        </w:rPr>
        <w:t>环境</w:t>
      </w:r>
    </w:p>
    <w:p w14:paraId="55097D70">
      <w:pPr>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color w:val="000000" w:themeColor="text1"/>
          <w:kern w:val="0"/>
          <w:sz w:val="44"/>
          <w:szCs w:val="44"/>
          <w:lang w:bidi="ar"/>
          <w14:textFill>
            <w14:solidFill>
              <w14:schemeClr w14:val="tx1"/>
            </w14:solidFill>
          </w14:textFill>
        </w:rPr>
        <w:t>影响报告表的批复</w:t>
      </w:r>
    </w:p>
    <w:p w14:paraId="2FE28D13">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呼玛县自然资源局：</w:t>
      </w:r>
    </w:p>
    <w:p w14:paraId="5263F9F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你单位报送的由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哈尔滨泽生环境科技有限公司</w:t>
      </w:r>
      <w:r>
        <w:rPr>
          <w:rFonts w:hint="eastAsia" w:ascii="仿宋_GB2312" w:hAnsi="仿宋_GB2312" w:eastAsia="仿宋_GB2312" w:cs="仿宋_GB2312"/>
          <w:color w:val="000000" w:themeColor="text1"/>
          <w:sz w:val="32"/>
          <w:szCs w:val="32"/>
          <w14:textFill>
            <w14:solidFill>
              <w14:schemeClr w14:val="tx1"/>
            </w14:solidFill>
          </w14:textFill>
        </w:rPr>
        <w:t>编写的《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呼玛县黑龙江省大兴安岭地区呼玛县湖通河历史遗留矿山生态修复项目</w:t>
      </w:r>
      <w:r>
        <w:rPr>
          <w:rFonts w:hint="eastAsia" w:ascii="仿宋_GB2312" w:hAnsi="仿宋_GB2312" w:eastAsia="仿宋_GB2312" w:cs="仿宋_GB2312"/>
          <w:color w:val="000000" w:themeColor="text1"/>
          <w:sz w:val="32"/>
          <w:szCs w:val="32"/>
          <w14:textFill>
            <w14:solidFill>
              <w14:schemeClr w14:val="tx1"/>
            </w14:solidFill>
          </w14:textFill>
        </w:rPr>
        <w:t>环境影响报告表》(以</w:t>
      </w:r>
      <w:r>
        <w:rPr>
          <w:rFonts w:hint="eastAsia" w:ascii="仿宋_GB2312" w:hAnsi="仿宋_GB2312" w:eastAsia="仿宋_GB2312" w:cs="仿宋_GB2312"/>
          <w:color w:val="000000" w:themeColor="text1"/>
          <w:sz w:val="32"/>
          <w:szCs w:val="32"/>
          <w:lang w:eastAsia="zh-CN"/>
          <w14:textFill>
            <w14:solidFill>
              <w14:schemeClr w14:val="tx1"/>
            </w14:solidFill>
          </w14:textFill>
        </w:rPr>
        <w:t>下简</w:t>
      </w:r>
      <w:r>
        <w:rPr>
          <w:rFonts w:hint="eastAsia" w:ascii="仿宋_GB2312" w:hAnsi="仿宋_GB2312" w:eastAsia="仿宋_GB2312" w:cs="仿宋_GB2312"/>
          <w:color w:val="000000" w:themeColor="text1"/>
          <w:sz w:val="32"/>
          <w:szCs w:val="32"/>
          <w14:textFill>
            <w14:solidFill>
              <w14:schemeClr w14:val="tx1"/>
            </w14:solidFill>
          </w14:textFill>
        </w:rPr>
        <w:t>称“报告表”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已收悉，经研究，现批复如下</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40FD6D4C">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项目基本情况</w:t>
      </w:r>
    </w:p>
    <w:p w14:paraId="0416700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呼玛县黑龙江省大兴安岭地区呼玛县湖通河历史遗留矿山生态修复项目主要工程内容为地貌重塑（土地平整工程）、植被重建工程、配套工程、养护工程、监测工程，矿区修复面积15.8220hm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。项目建成后设置警示牌四套、宣传板一套，地貌重塑工程量为85584.80m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，土地平整面积为13.0771hm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，通过生态修复可开挖94605m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，回填4681m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。项目区内植被恢复区总面积15.8220hm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p>
    <w:p w14:paraId="36DF72A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项目区共分为18个区块，区块总面积15.8220hm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，其中土地平整面积13.0771hm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，补种面积2.7449hm</w:t>
      </w:r>
      <w:r>
        <w:rPr>
          <w:rFonts w:hint="eastAsia" w:ascii="仿宋_GB2312" w:hAnsi="仿宋_GB2312" w:eastAsia="仿宋_GB2312" w:cs="仿宋_GB2312"/>
          <w:color w:val="000000" w:themeColor="text1"/>
          <w:sz w:val="32"/>
          <w:szCs w:val="32"/>
          <w:vertAlign w:val="superscript"/>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p>
    <w:p w14:paraId="14CD3347">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项目建设和运行管理中应重点做好以下工作</w:t>
      </w:r>
    </w:p>
    <w:p w14:paraId="24AA18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施工期生活污水排入移动式生态厕所，定期清掏，外运堆肥不外排；施工期降雨在矿区内低洼处汇集，收集用于洒水降尘，不外排。</w:t>
      </w:r>
    </w:p>
    <w:p w14:paraId="74189A6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施工期材料运输车辆采取遮盖措施或密闭运输，施工场地和运输道路采取洒水抑尘措施，干旱大风天气适当增加洒水量和洒水次数。</w:t>
      </w:r>
    </w:p>
    <w:p w14:paraId="1E890D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施工期</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采用低噪声设备，高噪声施工机械采取减震措施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合理安排施工时间，禁止夜间施工作业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55858DB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施工期生活垃圾分类收集后，由当地环卫部门清运处理；土石方调运坚持尽量减少取、弃方量的原则，各施工尽量内部土石方调配利用，剩余砂石料及时外运。</w:t>
      </w:r>
    </w:p>
    <w:p w14:paraId="0955B02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施工挖方及时平整压实，避开大风、暴雨等恶劣天气开展土石方、回填作业，减少水土流失；施工期严格控制用地，不得占用项目区以外的用地，恢复区进行平整后尽快种植植被等。根据《土地复垦质量控制标准》（TD/T1036 -2013）附录D进行土地复垦，恢复林地。管护期间节约用水和科学施肥，增强科学施肥和节约用肥意识，避免施肥过量造成土壤污染。</w:t>
      </w:r>
    </w:p>
    <w:p w14:paraId="41C2C2C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三、该项目必须符合所在地国土空间规划以及“三线一单”等要求后方可开工建设。项目建设必须严格执行配套的环境保护设施与主体工程同时设计、同时施工、同时投产使用的“三同时”制度。项目竣工后，应按规定程序进行竣工环境保护验收。经验收合格后，方可正式投入运营。</w:t>
      </w:r>
    </w:p>
    <w:p w14:paraId="6ECD90E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四、环境影响报告表经批准后，项目的性质、规模、工艺、地点或者污染防治措施发生重大变动的，应当重新报批该项目的环境影响报告表。自环境影响报告表批复文件批准之日起，如超过5年方决定开工建设的，环境影响报告表应当重新审核。</w:t>
      </w:r>
    </w:p>
    <w:p w14:paraId="289D815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五、在项目发生实际排污行为之前，按照经批准的环境影响评价文件认真梳理并落实各项环境保护措施，将污染物排放清单及其他有关内容载入排污许可证，有机衔接环境影响评价与排污许可证要求，并按证排污。</w:t>
      </w:r>
    </w:p>
    <w:p w14:paraId="7BFF975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由呼玛生态环境局综合执法队组织开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展该项目事中事后监管工作。</w:t>
      </w:r>
    </w:p>
    <w:p w14:paraId="71552218">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bookmarkStart w:id="0" w:name="_GoBack"/>
      <w:bookmarkEnd w:id="0"/>
    </w:p>
    <w:p w14:paraId="33373348">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p>
    <w:p w14:paraId="357E54F0">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大兴安岭地区呼玛生态环境局</w:t>
      </w:r>
    </w:p>
    <w:p w14:paraId="67043988">
      <w:pPr>
        <w:keepNext w:val="0"/>
        <w:keepLines w:val="0"/>
        <w:pageBreakBefore w:val="0"/>
        <w:widowControl w:val="0"/>
        <w:kinsoku/>
        <w:wordWrap/>
        <w:overflowPunct/>
        <w:topLinePunct w:val="0"/>
        <w:autoSpaceDE/>
        <w:autoSpaceDN/>
        <w:bidi w:val="0"/>
        <w:adjustRightInd/>
        <w:snapToGrid/>
        <w:spacing w:line="500" w:lineRule="exact"/>
        <w:ind w:firstLine="5440" w:firstLineChars="17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2026年9月29日</w:t>
      </w:r>
    </w:p>
    <w:p w14:paraId="08D1024B">
      <w:pPr>
        <w:pStyle w:val="2"/>
        <w:ind w:left="0" w:leftChars="0" w:firstLine="0" w:firstLineChars="0"/>
        <w:rPr>
          <w:rFonts w:hint="eastAsia" w:ascii="仿宋_GB2312" w:hAnsi="仿宋_GB2312" w:eastAsia="仿宋_GB2312" w:cs="仿宋_GB2312"/>
          <w:color w:val="000000" w:themeColor="text1"/>
          <w:sz w:val="32"/>
          <w:szCs w:val="32"/>
          <w:highlight w:val="yellow"/>
          <w:lang w:val="en-US" w:eastAsia="zh-CN"/>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2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323F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75067">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E75067">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B0AC6B"/>
    <w:multiLevelType w:val="singleLevel"/>
    <w:tmpl w:val="7CB0AC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5NGZiYTIxYjY1NjRkZWE3ODA4MzUwZTUwMGQwYWYifQ=="/>
  </w:docVars>
  <w:rsids>
    <w:rsidRoot w:val="7B07308D"/>
    <w:rsid w:val="009D32B3"/>
    <w:rsid w:val="039259E8"/>
    <w:rsid w:val="04F517BF"/>
    <w:rsid w:val="08AA5D9B"/>
    <w:rsid w:val="098B2B38"/>
    <w:rsid w:val="134F4483"/>
    <w:rsid w:val="14DA74C7"/>
    <w:rsid w:val="189A5F55"/>
    <w:rsid w:val="1BBB0126"/>
    <w:rsid w:val="1F5062A3"/>
    <w:rsid w:val="20763FDF"/>
    <w:rsid w:val="23445D00"/>
    <w:rsid w:val="23F517A7"/>
    <w:rsid w:val="28F01C12"/>
    <w:rsid w:val="2A682625"/>
    <w:rsid w:val="352C4FF2"/>
    <w:rsid w:val="35991EA2"/>
    <w:rsid w:val="369A102E"/>
    <w:rsid w:val="378C0CA8"/>
    <w:rsid w:val="395F6D01"/>
    <w:rsid w:val="470D4B07"/>
    <w:rsid w:val="49804FAC"/>
    <w:rsid w:val="536F35A6"/>
    <w:rsid w:val="5AB55661"/>
    <w:rsid w:val="5CAB183A"/>
    <w:rsid w:val="6656709B"/>
    <w:rsid w:val="666C6A5F"/>
    <w:rsid w:val="693370F8"/>
    <w:rsid w:val="713F6D67"/>
    <w:rsid w:val="7254544D"/>
    <w:rsid w:val="780505F7"/>
    <w:rsid w:val="793C6201"/>
    <w:rsid w:val="7B07308D"/>
    <w:rsid w:val="7B525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style>
  <w:style w:type="paragraph" w:styleId="3">
    <w:name w:val="Body Text Indent 2"/>
    <w:basedOn w:val="1"/>
    <w:qFormat/>
    <w:uiPriority w:val="0"/>
    <w:pPr>
      <w:spacing w:after="120" w:afterLines="0" w:afterAutospacing="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annotation reference"/>
    <w:basedOn w:val="8"/>
    <w:semiHidden/>
    <w:qFormat/>
    <w:uiPriority w:val="0"/>
    <w:rPr>
      <w:sz w:val="21"/>
    </w:rPr>
  </w:style>
  <w:style w:type="paragraph" w:customStyle="1" w:styleId="10">
    <w:name w:val="0正文"/>
    <w:basedOn w:val="1"/>
    <w:qFormat/>
    <w:uiPriority w:val="0"/>
    <w:pPr>
      <w:spacing w:line="360" w:lineRule="auto"/>
      <w:ind w:firstLine="720" w:firstLineChars="200"/>
      <w:jc w:val="left"/>
    </w:pPr>
    <w:rPr>
      <w:kern w:val="0"/>
      <w:sz w:val="24"/>
    </w:rPr>
  </w:style>
  <w:style w:type="paragraph" w:customStyle="1" w:styleId="11">
    <w:name w:val=".表1-1-1内容"/>
    <w:basedOn w:val="1"/>
    <w:qFormat/>
    <w:uiPriority w:val="0"/>
    <w:pPr>
      <w:spacing w:line="300" w:lineRule="exact"/>
      <w:jc w:val="center"/>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1158</Words>
  <Characters>1254</Characters>
  <Lines>0</Lines>
  <Paragraphs>0</Paragraphs>
  <TotalTime>5</TotalTime>
  <ScaleCrop>false</ScaleCrop>
  <LinksUpToDate>false</LinksUpToDate>
  <CharactersWithSpaces>1276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2024-10-25T01:55:00Z</dcterms:created>
  <dc:creator>欢乐家庭</dc:creator>
  <cp:lastModifiedBy>李（菁）晶</cp:lastModifiedBy>
  <dcterms:modified xsi:type="dcterms:W3CDTF">2026-09-07T01:52:53Z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77BE20CE345744A6B41193A565B1EA98_13</vt:lpwstr>
  </property>
  <property fmtid="{D5CDD505-2E9C-101B-9397-08002B2CF9AE}" pid="4" name="KSOTemplateDocerSaveRecord">
    <vt:lpwstr>eyJoZGlkIjoiNTkzNThkMmZhNzhiMTliYWI4ZGQxNjBmODhjMzg4NTYiLCJ1c2VySWQiOiIxMzkzODM0NTQ0In0=</vt:lpwstr>
  </property>
</Properties>
</file>