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7C012">
      <w:pPr>
        <w:widowControl w:val="0"/>
        <w:numPr>
          <w:ilvl w:val="0"/>
          <w:numId w:val="0"/>
        </w:numPr>
        <w:jc w:val="both"/>
        <w:rPr>
          <w:rFonts w:hint="default"/>
          <w:sz w:val="32"/>
          <w:szCs w:val="32"/>
          <w:lang w:val="en-US" w:eastAsia="zh-CN"/>
        </w:rPr>
      </w:pPr>
      <w:r>
        <w:rPr>
          <w:rFonts w:hint="eastAsia"/>
          <w:sz w:val="32"/>
          <w:szCs w:val="32"/>
          <w:lang w:val="en-US" w:eastAsia="zh-CN"/>
        </w:rPr>
        <w:t>附件2：</w:t>
      </w:r>
    </w:p>
    <w:p w14:paraId="31A06A9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大豆根瘤菌菌剂接种技术示范推广项目</w:t>
      </w:r>
    </w:p>
    <w:p w14:paraId="64FAD3E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大豆根瘤菌菌剂采购询价单</w:t>
      </w:r>
    </w:p>
    <w:p w14:paraId="26645E06">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贵单位：</w:t>
      </w:r>
    </w:p>
    <w:p w14:paraId="158DB80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我单位拟对2026年呼玛县大豆根瘤菌示范推广项</w:t>
      </w:r>
      <w:r>
        <w:rPr>
          <w:rFonts w:hint="eastAsia" w:ascii="仿宋_GB2312" w:hAnsi="仿宋_GB2312" w:eastAsia="仿宋_GB2312" w:cs="仿宋_GB2312"/>
          <w:color w:val="auto"/>
          <w:sz w:val="28"/>
          <w:szCs w:val="28"/>
          <w:lang w:val="en-US" w:eastAsia="zh-CN"/>
        </w:rPr>
        <w:t>目7.65万亩</w:t>
      </w:r>
      <w:r>
        <w:rPr>
          <w:rFonts w:hint="eastAsia" w:ascii="仿宋_GB2312" w:hAnsi="仿宋_GB2312" w:eastAsia="仿宋_GB2312" w:cs="仿宋_GB2312"/>
          <w:sz w:val="28"/>
          <w:szCs w:val="28"/>
          <w:lang w:val="en-US" w:eastAsia="zh-CN"/>
        </w:rPr>
        <w:t>任务面积所需大豆根瘤菌菌剂寻求供应商，现诚邀贵单位进行报价。</w:t>
      </w:r>
    </w:p>
    <w:p w14:paraId="0C34C491">
      <w:pPr>
        <w:widowControl w:val="0"/>
        <w:numPr>
          <w:ilvl w:val="0"/>
          <w:numId w:val="0"/>
        </w:numPr>
        <w:jc w:val="center"/>
        <w:rPr>
          <w:rFonts w:hint="eastAsia"/>
          <w:sz w:val="24"/>
          <w:szCs w:val="24"/>
          <w:lang w:val="en-US" w:eastAsia="zh-CN"/>
        </w:rPr>
      </w:pPr>
      <w:r>
        <w:rPr>
          <w:rFonts w:hint="eastAsia"/>
          <w:sz w:val="24"/>
          <w:szCs w:val="24"/>
          <w:lang w:val="en-US" w:eastAsia="zh-CN"/>
        </w:rPr>
        <w:t>呼玛县大豆根瘤菌菌剂报价单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132"/>
        <w:gridCol w:w="735"/>
        <w:gridCol w:w="985"/>
        <w:gridCol w:w="1030"/>
        <w:gridCol w:w="956"/>
        <w:gridCol w:w="1000"/>
        <w:gridCol w:w="1146"/>
        <w:gridCol w:w="947"/>
      </w:tblGrid>
      <w:tr w14:paraId="3DF0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14:paraId="26E9BEFF">
            <w:pPr>
              <w:widowControl w:val="0"/>
              <w:numPr>
                <w:ilvl w:val="0"/>
                <w:numId w:val="0"/>
              </w:numPr>
              <w:jc w:val="center"/>
              <w:rPr>
                <w:rFonts w:hint="default"/>
                <w:sz w:val="22"/>
                <w:szCs w:val="22"/>
                <w:vertAlign w:val="baseline"/>
                <w:lang w:val="en-US" w:eastAsia="zh-CN"/>
              </w:rPr>
            </w:pPr>
            <w:r>
              <w:rPr>
                <w:rFonts w:hint="eastAsia"/>
                <w:sz w:val="22"/>
                <w:szCs w:val="22"/>
                <w:vertAlign w:val="baseline"/>
                <w:lang w:val="en-US" w:eastAsia="zh-CN"/>
              </w:rPr>
              <w:t>序号</w:t>
            </w:r>
          </w:p>
        </w:tc>
        <w:tc>
          <w:tcPr>
            <w:tcW w:w="1132" w:type="dxa"/>
            <w:noWrap w:val="0"/>
            <w:vAlign w:val="center"/>
          </w:tcPr>
          <w:p w14:paraId="62EC6215">
            <w:pPr>
              <w:widowControl w:val="0"/>
              <w:numPr>
                <w:ilvl w:val="0"/>
                <w:numId w:val="0"/>
              </w:numPr>
              <w:jc w:val="center"/>
              <w:rPr>
                <w:rFonts w:hint="default"/>
                <w:sz w:val="22"/>
                <w:szCs w:val="22"/>
                <w:vertAlign w:val="baseline"/>
                <w:lang w:val="en-US" w:eastAsia="zh-CN"/>
              </w:rPr>
            </w:pPr>
            <w:r>
              <w:rPr>
                <w:rFonts w:hint="eastAsia"/>
                <w:sz w:val="22"/>
                <w:szCs w:val="22"/>
                <w:vertAlign w:val="baseline"/>
                <w:lang w:val="en-US" w:eastAsia="zh-CN"/>
              </w:rPr>
              <w:t>大豆根瘤菌菌剂名称</w:t>
            </w:r>
          </w:p>
        </w:tc>
        <w:tc>
          <w:tcPr>
            <w:tcW w:w="735" w:type="dxa"/>
            <w:noWrap w:val="0"/>
            <w:vAlign w:val="center"/>
          </w:tcPr>
          <w:p w14:paraId="22179073">
            <w:pPr>
              <w:widowControl w:val="0"/>
              <w:numPr>
                <w:ilvl w:val="0"/>
                <w:numId w:val="0"/>
              </w:numPr>
              <w:jc w:val="center"/>
              <w:rPr>
                <w:rFonts w:hint="default"/>
                <w:sz w:val="22"/>
                <w:szCs w:val="22"/>
                <w:vertAlign w:val="baseline"/>
                <w:lang w:val="en-US" w:eastAsia="zh-CN"/>
              </w:rPr>
            </w:pPr>
            <w:r>
              <w:rPr>
                <w:rFonts w:hint="eastAsia"/>
                <w:sz w:val="22"/>
                <w:szCs w:val="22"/>
                <w:vertAlign w:val="baseline"/>
                <w:lang w:val="en-US" w:eastAsia="zh-CN"/>
              </w:rPr>
              <w:t>产品标准</w:t>
            </w:r>
          </w:p>
        </w:tc>
        <w:tc>
          <w:tcPr>
            <w:tcW w:w="985" w:type="dxa"/>
            <w:noWrap w:val="0"/>
            <w:vAlign w:val="center"/>
          </w:tcPr>
          <w:p w14:paraId="49175097">
            <w:pPr>
              <w:widowControl w:val="0"/>
              <w:numPr>
                <w:ilvl w:val="0"/>
                <w:numId w:val="0"/>
              </w:numPr>
              <w:jc w:val="center"/>
              <w:rPr>
                <w:rFonts w:hint="default"/>
                <w:sz w:val="22"/>
                <w:szCs w:val="22"/>
                <w:vertAlign w:val="baseline"/>
                <w:lang w:val="en-US" w:eastAsia="zh-CN"/>
              </w:rPr>
            </w:pPr>
            <w:r>
              <w:rPr>
                <w:rFonts w:hint="eastAsia"/>
                <w:sz w:val="22"/>
                <w:szCs w:val="22"/>
                <w:vertAlign w:val="baseline"/>
                <w:lang w:val="en-US" w:eastAsia="zh-CN"/>
              </w:rPr>
              <w:t>菌种类型</w:t>
            </w:r>
          </w:p>
        </w:tc>
        <w:tc>
          <w:tcPr>
            <w:tcW w:w="1030" w:type="dxa"/>
            <w:noWrap w:val="0"/>
            <w:vAlign w:val="center"/>
          </w:tcPr>
          <w:p w14:paraId="3D449244">
            <w:pPr>
              <w:widowControl w:val="0"/>
              <w:numPr>
                <w:ilvl w:val="0"/>
                <w:numId w:val="0"/>
              </w:numPr>
              <w:jc w:val="center"/>
              <w:rPr>
                <w:rFonts w:hint="default"/>
                <w:sz w:val="22"/>
                <w:szCs w:val="22"/>
                <w:vertAlign w:val="baseline"/>
                <w:lang w:val="en-US" w:eastAsia="zh-CN"/>
              </w:rPr>
            </w:pPr>
            <w:r>
              <w:rPr>
                <w:rFonts w:hint="eastAsia"/>
                <w:sz w:val="22"/>
                <w:szCs w:val="22"/>
                <w:vertAlign w:val="baseline"/>
                <w:lang w:val="en-US" w:eastAsia="zh-CN"/>
              </w:rPr>
              <w:t>主要技术参数</w:t>
            </w:r>
          </w:p>
        </w:tc>
        <w:tc>
          <w:tcPr>
            <w:tcW w:w="956" w:type="dxa"/>
            <w:noWrap w:val="0"/>
            <w:vAlign w:val="center"/>
          </w:tcPr>
          <w:p w14:paraId="0F207734">
            <w:pPr>
              <w:widowControl w:val="0"/>
              <w:numPr>
                <w:ilvl w:val="0"/>
                <w:numId w:val="0"/>
              </w:numPr>
              <w:jc w:val="center"/>
              <w:rPr>
                <w:rFonts w:hint="default"/>
                <w:sz w:val="22"/>
                <w:szCs w:val="22"/>
                <w:vertAlign w:val="baseline"/>
                <w:lang w:val="en-US" w:eastAsia="zh-CN"/>
              </w:rPr>
            </w:pPr>
            <w:r>
              <w:rPr>
                <w:rFonts w:hint="eastAsia"/>
                <w:sz w:val="22"/>
                <w:szCs w:val="22"/>
                <w:vertAlign w:val="baseline"/>
                <w:lang w:val="en-US" w:eastAsia="zh-CN"/>
              </w:rPr>
              <w:t>物资数量（袋或瓶）</w:t>
            </w:r>
          </w:p>
        </w:tc>
        <w:tc>
          <w:tcPr>
            <w:tcW w:w="1000" w:type="dxa"/>
            <w:noWrap w:val="0"/>
            <w:vAlign w:val="center"/>
          </w:tcPr>
          <w:p w14:paraId="449DB567">
            <w:pPr>
              <w:widowControl w:val="0"/>
              <w:numPr>
                <w:ilvl w:val="0"/>
                <w:numId w:val="0"/>
              </w:numPr>
              <w:jc w:val="center"/>
              <w:rPr>
                <w:rFonts w:hint="default"/>
                <w:sz w:val="22"/>
                <w:szCs w:val="22"/>
                <w:vertAlign w:val="baseline"/>
                <w:lang w:val="en-US" w:eastAsia="zh-CN"/>
              </w:rPr>
            </w:pPr>
            <w:r>
              <w:rPr>
                <w:rFonts w:hint="eastAsia"/>
                <w:sz w:val="22"/>
                <w:szCs w:val="22"/>
                <w:vertAlign w:val="baseline"/>
                <w:lang w:val="en-US" w:eastAsia="zh-CN"/>
              </w:rPr>
              <w:t>单价（元/袋或元/瓶）</w:t>
            </w:r>
          </w:p>
        </w:tc>
        <w:tc>
          <w:tcPr>
            <w:tcW w:w="1146" w:type="dxa"/>
            <w:noWrap w:val="0"/>
            <w:vAlign w:val="center"/>
          </w:tcPr>
          <w:p w14:paraId="508D4CB4">
            <w:pPr>
              <w:widowControl w:val="0"/>
              <w:numPr>
                <w:ilvl w:val="0"/>
                <w:numId w:val="0"/>
              </w:numPr>
              <w:jc w:val="center"/>
              <w:rPr>
                <w:rFonts w:hint="default"/>
                <w:sz w:val="22"/>
                <w:szCs w:val="22"/>
                <w:vertAlign w:val="baseline"/>
                <w:lang w:val="en-US" w:eastAsia="zh-CN"/>
              </w:rPr>
            </w:pPr>
            <w:r>
              <w:rPr>
                <w:rFonts w:hint="eastAsia"/>
                <w:sz w:val="22"/>
                <w:szCs w:val="22"/>
                <w:vertAlign w:val="baseline"/>
                <w:lang w:val="en-US" w:eastAsia="zh-CN"/>
              </w:rPr>
              <w:t>总价（元）</w:t>
            </w:r>
          </w:p>
        </w:tc>
        <w:tc>
          <w:tcPr>
            <w:tcW w:w="947" w:type="dxa"/>
            <w:noWrap w:val="0"/>
            <w:vAlign w:val="center"/>
          </w:tcPr>
          <w:p w14:paraId="205D1A25">
            <w:pPr>
              <w:widowControl w:val="0"/>
              <w:numPr>
                <w:ilvl w:val="0"/>
                <w:numId w:val="0"/>
              </w:numPr>
              <w:jc w:val="center"/>
              <w:rPr>
                <w:rFonts w:hint="default"/>
                <w:sz w:val="22"/>
                <w:szCs w:val="22"/>
                <w:vertAlign w:val="baseline"/>
                <w:lang w:val="en-US" w:eastAsia="zh-CN"/>
              </w:rPr>
            </w:pPr>
            <w:r>
              <w:rPr>
                <w:rFonts w:hint="eastAsia"/>
                <w:sz w:val="22"/>
                <w:szCs w:val="22"/>
                <w:vertAlign w:val="baseline"/>
                <w:lang w:val="en-US" w:eastAsia="zh-CN"/>
              </w:rPr>
              <w:t>使用方法及用量</w:t>
            </w:r>
          </w:p>
        </w:tc>
      </w:tr>
      <w:tr w14:paraId="3BB4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86" w:type="dxa"/>
            <w:noWrap w:val="0"/>
            <w:vAlign w:val="center"/>
          </w:tcPr>
          <w:p w14:paraId="51BE13F9">
            <w:pPr>
              <w:widowControl w:val="0"/>
              <w:numPr>
                <w:ilvl w:val="0"/>
                <w:numId w:val="0"/>
              </w:numPr>
              <w:jc w:val="center"/>
              <w:rPr>
                <w:rFonts w:hint="eastAsia"/>
                <w:sz w:val="22"/>
                <w:szCs w:val="22"/>
                <w:vertAlign w:val="baseline"/>
                <w:lang w:val="en-US" w:eastAsia="zh-CN"/>
              </w:rPr>
            </w:pPr>
          </w:p>
        </w:tc>
        <w:tc>
          <w:tcPr>
            <w:tcW w:w="1132" w:type="dxa"/>
            <w:noWrap w:val="0"/>
            <w:vAlign w:val="center"/>
          </w:tcPr>
          <w:p w14:paraId="355C19D4">
            <w:pPr>
              <w:widowControl w:val="0"/>
              <w:numPr>
                <w:ilvl w:val="0"/>
                <w:numId w:val="0"/>
              </w:numPr>
              <w:jc w:val="center"/>
              <w:rPr>
                <w:rFonts w:hint="eastAsia"/>
                <w:sz w:val="22"/>
                <w:szCs w:val="22"/>
                <w:vertAlign w:val="baseline"/>
                <w:lang w:val="en-US" w:eastAsia="zh-CN"/>
              </w:rPr>
            </w:pPr>
          </w:p>
        </w:tc>
        <w:tc>
          <w:tcPr>
            <w:tcW w:w="735" w:type="dxa"/>
            <w:noWrap w:val="0"/>
            <w:vAlign w:val="center"/>
          </w:tcPr>
          <w:p w14:paraId="36B3C94A">
            <w:pPr>
              <w:widowControl w:val="0"/>
              <w:numPr>
                <w:ilvl w:val="0"/>
                <w:numId w:val="0"/>
              </w:numPr>
              <w:jc w:val="center"/>
              <w:rPr>
                <w:rFonts w:hint="eastAsia"/>
                <w:sz w:val="22"/>
                <w:szCs w:val="22"/>
                <w:vertAlign w:val="baseline"/>
                <w:lang w:val="en-US" w:eastAsia="zh-CN"/>
              </w:rPr>
            </w:pPr>
          </w:p>
        </w:tc>
        <w:tc>
          <w:tcPr>
            <w:tcW w:w="985" w:type="dxa"/>
            <w:noWrap w:val="0"/>
            <w:vAlign w:val="center"/>
          </w:tcPr>
          <w:p w14:paraId="19A5FA94">
            <w:pPr>
              <w:widowControl w:val="0"/>
              <w:numPr>
                <w:ilvl w:val="0"/>
                <w:numId w:val="0"/>
              </w:numPr>
              <w:jc w:val="center"/>
              <w:rPr>
                <w:rFonts w:hint="eastAsia"/>
                <w:sz w:val="22"/>
                <w:szCs w:val="22"/>
                <w:vertAlign w:val="baseline"/>
                <w:lang w:val="en-US" w:eastAsia="zh-CN"/>
              </w:rPr>
            </w:pPr>
          </w:p>
        </w:tc>
        <w:tc>
          <w:tcPr>
            <w:tcW w:w="1030" w:type="dxa"/>
            <w:noWrap w:val="0"/>
            <w:vAlign w:val="center"/>
          </w:tcPr>
          <w:p w14:paraId="20266886">
            <w:pPr>
              <w:widowControl w:val="0"/>
              <w:numPr>
                <w:ilvl w:val="0"/>
                <w:numId w:val="0"/>
              </w:numPr>
              <w:jc w:val="center"/>
              <w:rPr>
                <w:rFonts w:hint="eastAsia"/>
                <w:sz w:val="22"/>
                <w:szCs w:val="22"/>
                <w:vertAlign w:val="baseline"/>
                <w:lang w:val="en-US" w:eastAsia="zh-CN"/>
              </w:rPr>
            </w:pPr>
          </w:p>
        </w:tc>
        <w:tc>
          <w:tcPr>
            <w:tcW w:w="956" w:type="dxa"/>
            <w:noWrap w:val="0"/>
            <w:vAlign w:val="center"/>
          </w:tcPr>
          <w:p w14:paraId="7FABF888">
            <w:pPr>
              <w:widowControl w:val="0"/>
              <w:numPr>
                <w:ilvl w:val="0"/>
                <w:numId w:val="0"/>
              </w:numPr>
              <w:jc w:val="center"/>
              <w:rPr>
                <w:rFonts w:hint="eastAsia"/>
                <w:sz w:val="22"/>
                <w:szCs w:val="22"/>
                <w:vertAlign w:val="baseline"/>
                <w:lang w:val="en-US" w:eastAsia="zh-CN"/>
              </w:rPr>
            </w:pPr>
          </w:p>
        </w:tc>
        <w:tc>
          <w:tcPr>
            <w:tcW w:w="1000" w:type="dxa"/>
            <w:noWrap w:val="0"/>
            <w:vAlign w:val="center"/>
          </w:tcPr>
          <w:p w14:paraId="2AA24568">
            <w:pPr>
              <w:widowControl w:val="0"/>
              <w:numPr>
                <w:ilvl w:val="0"/>
                <w:numId w:val="0"/>
              </w:numPr>
              <w:jc w:val="center"/>
              <w:rPr>
                <w:rFonts w:hint="eastAsia"/>
                <w:sz w:val="22"/>
                <w:szCs w:val="22"/>
                <w:vertAlign w:val="baseline"/>
                <w:lang w:val="en-US" w:eastAsia="zh-CN"/>
              </w:rPr>
            </w:pPr>
          </w:p>
        </w:tc>
        <w:tc>
          <w:tcPr>
            <w:tcW w:w="1146" w:type="dxa"/>
            <w:noWrap w:val="0"/>
            <w:vAlign w:val="center"/>
          </w:tcPr>
          <w:p w14:paraId="6B5B99D9">
            <w:pPr>
              <w:widowControl w:val="0"/>
              <w:numPr>
                <w:ilvl w:val="0"/>
                <w:numId w:val="0"/>
              </w:numPr>
              <w:jc w:val="center"/>
              <w:rPr>
                <w:rFonts w:hint="eastAsia"/>
                <w:sz w:val="22"/>
                <w:szCs w:val="22"/>
                <w:vertAlign w:val="baseline"/>
                <w:lang w:val="en-US" w:eastAsia="zh-CN"/>
              </w:rPr>
            </w:pPr>
          </w:p>
        </w:tc>
        <w:tc>
          <w:tcPr>
            <w:tcW w:w="947" w:type="dxa"/>
            <w:noWrap w:val="0"/>
            <w:vAlign w:val="center"/>
          </w:tcPr>
          <w:p w14:paraId="1A5AF955">
            <w:pPr>
              <w:widowControl w:val="0"/>
              <w:numPr>
                <w:ilvl w:val="0"/>
                <w:numId w:val="0"/>
              </w:numPr>
              <w:jc w:val="center"/>
              <w:rPr>
                <w:rFonts w:hint="eastAsia"/>
                <w:sz w:val="22"/>
                <w:szCs w:val="22"/>
                <w:vertAlign w:val="baseline"/>
                <w:lang w:val="en-US" w:eastAsia="zh-CN"/>
              </w:rPr>
            </w:pPr>
          </w:p>
        </w:tc>
      </w:tr>
      <w:tr w14:paraId="382C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453" w:type="dxa"/>
            <w:gridSpan w:val="3"/>
            <w:noWrap w:val="0"/>
            <w:vAlign w:val="center"/>
          </w:tcPr>
          <w:p w14:paraId="428287AA">
            <w:pPr>
              <w:widowControl w:val="0"/>
              <w:numPr>
                <w:ilvl w:val="0"/>
                <w:numId w:val="0"/>
              </w:numPr>
              <w:jc w:val="center"/>
              <w:rPr>
                <w:rFonts w:hint="eastAsia"/>
                <w:sz w:val="22"/>
                <w:szCs w:val="22"/>
                <w:vertAlign w:val="baseline"/>
                <w:lang w:val="en-US" w:eastAsia="zh-CN"/>
              </w:rPr>
            </w:pPr>
            <w:r>
              <w:rPr>
                <w:rFonts w:hint="eastAsia"/>
                <w:sz w:val="22"/>
                <w:szCs w:val="22"/>
                <w:vertAlign w:val="baseline"/>
                <w:lang w:val="en-US" w:eastAsia="zh-CN"/>
              </w:rPr>
              <w:t>报价企业联系人</w:t>
            </w:r>
          </w:p>
        </w:tc>
        <w:tc>
          <w:tcPr>
            <w:tcW w:w="6064" w:type="dxa"/>
            <w:gridSpan w:val="6"/>
            <w:noWrap w:val="0"/>
            <w:vAlign w:val="center"/>
          </w:tcPr>
          <w:p w14:paraId="71D87682">
            <w:pPr>
              <w:widowControl w:val="0"/>
              <w:numPr>
                <w:ilvl w:val="0"/>
                <w:numId w:val="0"/>
              </w:numPr>
              <w:jc w:val="center"/>
              <w:rPr>
                <w:rFonts w:hint="eastAsia"/>
                <w:sz w:val="22"/>
                <w:szCs w:val="22"/>
                <w:vertAlign w:val="baseline"/>
                <w:lang w:val="en-US" w:eastAsia="zh-CN"/>
              </w:rPr>
            </w:pPr>
          </w:p>
        </w:tc>
      </w:tr>
      <w:tr w14:paraId="14D5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53" w:type="dxa"/>
            <w:gridSpan w:val="3"/>
            <w:noWrap w:val="0"/>
            <w:vAlign w:val="center"/>
          </w:tcPr>
          <w:p w14:paraId="3878DFE8">
            <w:pPr>
              <w:widowControl w:val="0"/>
              <w:numPr>
                <w:ilvl w:val="0"/>
                <w:numId w:val="0"/>
              </w:numPr>
              <w:jc w:val="center"/>
              <w:rPr>
                <w:rFonts w:hint="eastAsia"/>
                <w:sz w:val="22"/>
                <w:szCs w:val="22"/>
                <w:vertAlign w:val="baseline"/>
                <w:lang w:val="en-US" w:eastAsia="zh-CN"/>
              </w:rPr>
            </w:pPr>
            <w:r>
              <w:rPr>
                <w:rFonts w:hint="eastAsia"/>
                <w:sz w:val="22"/>
                <w:szCs w:val="22"/>
                <w:vertAlign w:val="baseline"/>
                <w:lang w:val="en-US" w:eastAsia="zh-CN"/>
              </w:rPr>
              <w:t>报价企业联系电话</w:t>
            </w:r>
          </w:p>
        </w:tc>
        <w:tc>
          <w:tcPr>
            <w:tcW w:w="6064" w:type="dxa"/>
            <w:gridSpan w:val="6"/>
            <w:noWrap w:val="0"/>
            <w:vAlign w:val="center"/>
          </w:tcPr>
          <w:p w14:paraId="23D14CBE">
            <w:pPr>
              <w:widowControl w:val="0"/>
              <w:numPr>
                <w:ilvl w:val="0"/>
                <w:numId w:val="0"/>
              </w:numPr>
              <w:jc w:val="center"/>
              <w:rPr>
                <w:rFonts w:hint="eastAsia"/>
                <w:sz w:val="22"/>
                <w:szCs w:val="22"/>
                <w:vertAlign w:val="baseline"/>
                <w:lang w:val="en-US" w:eastAsia="zh-CN"/>
              </w:rPr>
            </w:pPr>
          </w:p>
        </w:tc>
      </w:tr>
    </w:tbl>
    <w:p w14:paraId="173159F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豆根瘤菌菌剂供货方需为取得农业农村部肥料登记证且在有效期内的大豆根瘤菌菌剂生产企业或其委托的一级代理企业，产品应符合国家标准《农用微生物菌剂》（GB20287-2006）要求，大豆根瘤菌菌剂有效活菌数大于等于50.0亿/ml。参与项目的供货方需提交正式的大豆根瘤菌菌剂产品质量保证书，明确承诺三年内无不良信用记录，生产经营的大豆根瘤菌菌剂产品在各级农业农村局、市场监管部门开展的肥料产品质量监督抽查中未被通报为不合格产品，接受各级部门监管。贵公司所提供的大豆根瘤菌菌剂能够配合完成正式产品抽样检测，且需能够在4月26日前送达呼玛县内我单位指定地点。</w:t>
      </w:r>
    </w:p>
    <w:p w14:paraId="5F5AC07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请在需求截止日期前，将公司营业执照、报价单、农业农村部肥料登记证、产品检验检测报告、产品质量保证书等相关材料，如非大豆根瘤菌菌剂生产企业需提供一级代理合同，请于4月12日前加盖公章将报价相关材料原件报送至我单位或原件扫描件发送至邮箱，如有任何疑问，请随时联系。</w:t>
      </w:r>
    </w:p>
    <w:p w14:paraId="12E61CB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联系人：李伟杰   联系电话：15804570731</w:t>
      </w:r>
    </w:p>
    <w:p w14:paraId="1491A61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邮寄地址：黑龙江省呼玛县农业技术推广中心</w:t>
      </w:r>
    </w:p>
    <w:p w14:paraId="010B467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报送邮箱：</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"mailto:hmxtgzx@163.com" </w:instrText>
      </w:r>
      <w:r>
        <w:rPr>
          <w:rFonts w:hint="eastAsia" w:ascii="仿宋_GB2312" w:hAnsi="仿宋_GB2312" w:eastAsia="仿宋_GB2312" w:cs="仿宋_GB2312"/>
          <w:sz w:val="28"/>
          <w:szCs w:val="28"/>
          <w:lang w:val="en-US" w:eastAsia="zh-CN"/>
        </w:rPr>
        <w:fldChar w:fldCharType="separate"/>
      </w:r>
      <w:r>
        <w:rPr>
          <w:rStyle w:val="5"/>
          <w:rFonts w:hint="eastAsia" w:ascii="仿宋_GB2312" w:hAnsi="仿宋_GB2312" w:eastAsia="仿宋_GB2312" w:cs="仿宋_GB2312"/>
          <w:sz w:val="28"/>
          <w:szCs w:val="28"/>
          <w:lang w:val="en-US" w:eastAsia="zh-CN"/>
        </w:rPr>
        <w:t>hmxtgzx@163.com</w:t>
      </w:r>
      <w:r>
        <w:rPr>
          <w:rFonts w:hint="eastAsia" w:ascii="仿宋_GB2312" w:hAnsi="仿宋_GB2312" w:eastAsia="仿宋_GB2312" w:cs="仿宋_GB2312"/>
          <w:sz w:val="28"/>
          <w:szCs w:val="28"/>
          <w:lang w:val="en-US" w:eastAsia="zh-CN"/>
        </w:rPr>
        <w:fldChar w:fldCharType="end"/>
      </w:r>
    </w:p>
    <w:p w14:paraId="04B2BE5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谢谢！顺祝商祺！</w:t>
      </w:r>
    </w:p>
    <w:p w14:paraId="7FE46AA2">
      <w:pPr>
        <w:keepNext w:val="0"/>
        <w:keepLines w:val="0"/>
        <w:pageBreakBefore w:val="0"/>
        <w:widowControl w:val="0"/>
        <w:kinsoku/>
        <w:wordWrap/>
        <w:overflowPunct/>
        <w:topLinePunct w:val="0"/>
        <w:autoSpaceDE/>
        <w:autoSpaceDN/>
        <w:bidi w:val="0"/>
        <w:adjustRightInd/>
        <w:snapToGrid/>
        <w:spacing w:line="420" w:lineRule="exact"/>
        <w:ind w:firstLine="5040" w:firstLineChars="18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呼玛县农业技术推广中心</w:t>
      </w:r>
    </w:p>
    <w:p w14:paraId="2ECD48CB">
      <w:pPr>
        <w:keepNext w:val="0"/>
        <w:keepLines w:val="0"/>
        <w:pageBreakBefore w:val="0"/>
        <w:widowControl w:val="0"/>
        <w:kinsoku/>
        <w:wordWrap/>
        <w:overflowPunct/>
        <w:topLinePunct w:val="0"/>
        <w:autoSpaceDE/>
        <w:autoSpaceDN/>
        <w:bidi w:val="0"/>
        <w:adjustRightInd/>
        <w:snapToGrid/>
        <w:spacing w:line="420" w:lineRule="exact"/>
        <w:ind w:firstLine="5600" w:firstLineChars="2000"/>
        <w:textAlignment w:val="auto"/>
      </w:pPr>
      <w:r>
        <w:rPr>
          <w:rFonts w:hint="eastAsia" w:ascii="仿宋_GB2312" w:hAnsi="仿宋_GB2312" w:eastAsia="仿宋_GB2312" w:cs="仿宋_GB2312"/>
          <w:sz w:val="28"/>
          <w:szCs w:val="28"/>
          <w:lang w:val="en-US" w:eastAsia="zh-CN"/>
        </w:rPr>
        <w:t>2026年4月8日</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F12E6"/>
    <w:rsid w:val="170F1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132c7130-9f36-46e8-9c24-065d891b620b}">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2026-04-07T00:44:00Z</dcterms:created>
  <dc:creator>高林章</dc:creator>
  <cp:lastModifiedBy>高林章</cp:lastModifiedBy>
  <dcterms:modified xsi:type="dcterms:W3CDTF">2026-04-07T00:46:50Z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7984389EB1954285B5FE195B96EE08D3_11</vt:lpwstr>
  </property>
  <property fmtid="{D5CDD505-2E9C-101B-9397-08002B2CF9AE}" pid="4" name="KSOTemplateDocerSaveRecord">
    <vt:lpwstr>eyJoZGlkIjoiZmVhZjk5MzljZTM4ZjU4NzBhZmJkZTFmMTRiNTZhNzAiLCJ1c2VySWQiOiI2MTU1ODg3OTEifQ==</vt:lpwstr>
  </property>
</Properties>
</file>