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5714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14"/>
          <w:szCs w:val="14"/>
          <w:lang w:val="en-US" w:eastAsia="zh-CN" w:bidi="ar"/>
        </w:rPr>
        <w:t>附件1</w:t>
      </w:r>
    </w:p>
    <w:p w14:paraId="05E70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呼玛县水务局转移支付中央水利救灾资金区域绩效目标自评表</w:t>
      </w:r>
    </w:p>
    <w:p w14:paraId="49B04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spacing w:val="4"/>
          <w:sz w:val="14"/>
          <w:szCs w:val="14"/>
        </w:rPr>
        <w:t>（202</w:t>
      </w:r>
      <w:r>
        <w:rPr>
          <w:rFonts w:hint="eastAsia"/>
          <w:spacing w:val="4"/>
          <w:sz w:val="14"/>
          <w:szCs w:val="14"/>
          <w:lang w:val="en-US" w:eastAsia="zh-CN"/>
        </w:rPr>
        <w:t>5</w:t>
      </w:r>
      <w:r>
        <w:rPr>
          <w:spacing w:val="4"/>
          <w:sz w:val="14"/>
          <w:szCs w:val="14"/>
        </w:rPr>
        <w:t>年度）</w:t>
      </w: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831"/>
        <w:gridCol w:w="1116"/>
        <w:gridCol w:w="1512"/>
        <w:gridCol w:w="1461"/>
        <w:gridCol w:w="1771"/>
        <w:gridCol w:w="1255"/>
        <w:gridCol w:w="2461"/>
      </w:tblGrid>
      <w:tr w14:paraId="73189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ED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转移支付（项目）名称</w:t>
            </w:r>
          </w:p>
        </w:tc>
        <w:tc>
          <w:tcPr>
            <w:tcW w:w="384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F3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黑龙江呼玛县段防凌爆破项目</w:t>
            </w:r>
          </w:p>
        </w:tc>
      </w:tr>
      <w:tr w14:paraId="71CC0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29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中央主管部门</w:t>
            </w:r>
          </w:p>
        </w:tc>
        <w:tc>
          <w:tcPr>
            <w:tcW w:w="384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DC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水利部</w:t>
            </w:r>
          </w:p>
        </w:tc>
      </w:tr>
      <w:tr w14:paraId="0A0A2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55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地方主管部门</w:t>
            </w:r>
          </w:p>
        </w:tc>
        <w:tc>
          <w:tcPr>
            <w:tcW w:w="13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D2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呼玛县水务局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0C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资金使用单位</w:t>
            </w:r>
          </w:p>
        </w:tc>
        <w:tc>
          <w:tcPr>
            <w:tcW w:w="16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8D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呼玛县水务局</w:t>
            </w:r>
          </w:p>
        </w:tc>
      </w:tr>
      <w:tr w14:paraId="4630D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0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1C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资金投入情况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E9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C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3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32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02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预算执行率（B/A</w:t>
            </w:r>
            <w:r>
              <w:rPr>
                <w:rFonts w:ascii="汉仪细圆B5" w:hAnsi="汉仪细圆B5" w:eastAsia="汉仪细圆B5" w:cs="汉仪细圆B5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100%)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（10分）</w:t>
            </w:r>
          </w:p>
        </w:tc>
      </w:tr>
      <w:tr w14:paraId="4F424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68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81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C0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85</w:t>
            </w:r>
          </w:p>
        </w:tc>
        <w:tc>
          <w:tcPr>
            <w:tcW w:w="13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50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85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E4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100%</w:t>
            </w:r>
          </w:p>
        </w:tc>
      </w:tr>
      <w:tr w14:paraId="1718C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2D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00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其中：中央财政资金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4B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85</w:t>
            </w:r>
          </w:p>
        </w:tc>
        <w:tc>
          <w:tcPr>
            <w:tcW w:w="13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11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85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49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100%</w:t>
            </w:r>
          </w:p>
        </w:tc>
      </w:tr>
      <w:tr w14:paraId="2F6B6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B4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D3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      地方财政资金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3B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8C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52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</w:tr>
      <w:tr w14:paraId="20817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15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B2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DF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      其他资金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73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7B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A1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</w:tr>
      <w:tr w14:paraId="4058F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0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D7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资金管理情况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4B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53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情况说明</w:t>
            </w:r>
          </w:p>
        </w:tc>
        <w:tc>
          <w:tcPr>
            <w:tcW w:w="16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3D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存在问题和改进措施</w:t>
            </w:r>
          </w:p>
        </w:tc>
      </w:tr>
      <w:tr w14:paraId="635E4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B9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B5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分配科学性</w:t>
            </w:r>
          </w:p>
        </w:tc>
        <w:tc>
          <w:tcPr>
            <w:tcW w:w="14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2A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分配科学</w:t>
            </w:r>
          </w:p>
        </w:tc>
        <w:tc>
          <w:tcPr>
            <w:tcW w:w="16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3A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</w:tr>
      <w:tr w14:paraId="34A4A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04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4E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下达及时性</w:t>
            </w:r>
          </w:p>
        </w:tc>
        <w:tc>
          <w:tcPr>
            <w:tcW w:w="14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97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下达及时</w:t>
            </w:r>
          </w:p>
        </w:tc>
        <w:tc>
          <w:tcPr>
            <w:tcW w:w="16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AB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</w:tr>
      <w:tr w14:paraId="45D9B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5A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00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拨付合规性</w:t>
            </w:r>
          </w:p>
        </w:tc>
        <w:tc>
          <w:tcPr>
            <w:tcW w:w="14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82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拨付合规</w:t>
            </w:r>
          </w:p>
        </w:tc>
        <w:tc>
          <w:tcPr>
            <w:tcW w:w="16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16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</w:tr>
      <w:tr w14:paraId="609C5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0C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60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使用规范性</w:t>
            </w:r>
          </w:p>
        </w:tc>
        <w:tc>
          <w:tcPr>
            <w:tcW w:w="14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6C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使用规范</w:t>
            </w:r>
          </w:p>
        </w:tc>
        <w:tc>
          <w:tcPr>
            <w:tcW w:w="16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72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</w:tr>
      <w:tr w14:paraId="3C25E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01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6E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执行准确性</w:t>
            </w:r>
          </w:p>
        </w:tc>
        <w:tc>
          <w:tcPr>
            <w:tcW w:w="14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03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执行准确</w:t>
            </w:r>
          </w:p>
        </w:tc>
        <w:tc>
          <w:tcPr>
            <w:tcW w:w="16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0F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</w:tr>
      <w:tr w14:paraId="54E2F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10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E6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预算绩效管理情况</w:t>
            </w:r>
          </w:p>
        </w:tc>
        <w:tc>
          <w:tcPr>
            <w:tcW w:w="14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DA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良好</w:t>
            </w:r>
          </w:p>
        </w:tc>
        <w:tc>
          <w:tcPr>
            <w:tcW w:w="16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A8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</w:tr>
      <w:tr w14:paraId="63115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31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03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支出责任履行情况</w:t>
            </w:r>
          </w:p>
        </w:tc>
        <w:tc>
          <w:tcPr>
            <w:tcW w:w="14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A1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良好</w:t>
            </w:r>
          </w:p>
        </w:tc>
        <w:tc>
          <w:tcPr>
            <w:tcW w:w="16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E6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</w:tr>
      <w:tr w14:paraId="2801C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9A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总体目标完成情况</w:t>
            </w:r>
          </w:p>
        </w:tc>
        <w:tc>
          <w:tcPr>
            <w:tcW w:w="2239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E0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24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F1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全年实际完成情况</w:t>
            </w:r>
          </w:p>
        </w:tc>
      </w:tr>
      <w:tr w14:paraId="029D5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C0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23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A8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确保呼玛县安全度过凌汛期，对黑龙江呼玛县段部分易卡塞江段进行防凌爆破工作，消除安全隐患。</w:t>
            </w:r>
          </w:p>
        </w:tc>
        <w:tc>
          <w:tcPr>
            <w:tcW w:w="24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25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呼玛县防凌破冰工作对呼玛县上江岛段、翻身屯段、迎门砬子至罗家沟段、三合段共4段15.9km实施人工爆破破冰工作，有效消除安全隐患。</w:t>
            </w:r>
          </w:p>
        </w:tc>
      </w:tr>
      <w:tr w14:paraId="21EC5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4434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（90分）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07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B4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76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6E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21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全年实际完成值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A8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未完成原因和改进措施</w:t>
            </w:r>
          </w:p>
        </w:tc>
      </w:tr>
      <w:tr w14:paraId="37259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A3A3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D0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标      （40分）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15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数量指标</w:t>
            </w:r>
          </w:p>
          <w:p w14:paraId="6CED7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3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7A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防凌爆破数量（4处）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E2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4处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85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4处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86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</w:tr>
      <w:tr w14:paraId="78D2B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AEA5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FF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07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质量指标</w:t>
            </w:r>
          </w:p>
          <w:p w14:paraId="6C591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3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21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凌汛安全隐患消除率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0A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≥80%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DC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100%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B4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</w:tr>
      <w:tr w14:paraId="679C3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E799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46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18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DB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防凌爆破作业质量合格率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8C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≥80%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37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100%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E9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</w:tr>
      <w:tr w14:paraId="48232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773B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D0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E6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时效指标</w:t>
            </w:r>
          </w:p>
          <w:p w14:paraId="0314B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3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34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凌汛期前完成作业率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A5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≥80%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A9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100%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82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</w:tr>
      <w:tr w14:paraId="7B778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E506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B5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98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成本指标</w:t>
            </w:r>
          </w:p>
          <w:p w14:paraId="3A038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3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D4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项目预算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5F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≤85万元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D2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85万元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21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</w:tr>
      <w:tr w14:paraId="30315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DD96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D2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标      （40分）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E8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经济效益指标（10分）</w:t>
            </w:r>
          </w:p>
        </w:tc>
        <w:tc>
          <w:tcPr>
            <w:tcW w:w="13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05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凌汛灾害经济损失减少率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6B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≥80%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66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100%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47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</w:tr>
      <w:tr w14:paraId="77D49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D193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C9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B8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指标（10分）</w:t>
            </w:r>
          </w:p>
        </w:tc>
        <w:tc>
          <w:tcPr>
            <w:tcW w:w="13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C2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群众生命财产安全保障率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A2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≥80%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A8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100%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40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</w:tr>
      <w:tr w14:paraId="22974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FD07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53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32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生态效益指标（10分）</w:t>
            </w:r>
          </w:p>
        </w:tc>
        <w:tc>
          <w:tcPr>
            <w:tcW w:w="13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3A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黑龙江呼玛县段河道行洪通畅率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63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≥80%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2A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100%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7D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</w:tr>
      <w:tr w14:paraId="76550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CD3A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0D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A7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可持续影响指标（10分）</w:t>
            </w:r>
          </w:p>
        </w:tc>
        <w:tc>
          <w:tcPr>
            <w:tcW w:w="13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22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防凌减灾能力提升程度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0F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≥80%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49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100%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D1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</w:tr>
      <w:tr w14:paraId="0A7C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6BD5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9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满意度指标（10分）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B7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服务对象满意度指标（10分）</w:t>
            </w:r>
          </w:p>
        </w:tc>
        <w:tc>
          <w:tcPr>
            <w:tcW w:w="13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9A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上级主管单位满意度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DA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≥90%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06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100%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F8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</w:tr>
      <w:tr w14:paraId="18758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482A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1B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F0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E6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服务群众满意度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DD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≥90%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F6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100%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0F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</w:tr>
      <w:tr w14:paraId="0685A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A6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说明</w:t>
            </w:r>
          </w:p>
        </w:tc>
        <w:tc>
          <w:tcPr>
            <w:tcW w:w="473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D8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请在此处简要说明中央巡视、各级审计和财政监督中发现的问题及其所涉及的金额，如没有请填无。</w:t>
            </w:r>
          </w:p>
        </w:tc>
      </w:tr>
      <w:tr w14:paraId="24025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812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注：1.资金使用单位按项目绩效目标填报，主管部门汇总时按区域绩效目标填报。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    2.其他资金包括与中央财政资金、地方财政资金共同投入到同一项目的自有资金、社会资金，以及以前年度的结转结余资金等。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    3.全年执行数是指按照国库集中支付制度要求所形成的实际支出。 </w:t>
            </w:r>
          </w:p>
          <w:p w14:paraId="64637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仿宋_GB2312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b/>
                <w:bCs/>
                <w:spacing w:val="3"/>
                <w:sz w:val="13"/>
                <w:szCs w:val="13"/>
              </w:rPr>
              <w:t>填报人及联系方式：</w:t>
            </w:r>
            <w:r>
              <w:rPr>
                <w:rFonts w:hint="eastAsia"/>
                <w:b/>
                <w:bCs/>
                <w:spacing w:val="3"/>
                <w:sz w:val="13"/>
                <w:szCs w:val="13"/>
                <w:lang w:val="en-US" w:eastAsia="zh-CN"/>
              </w:rPr>
              <w:t>刘越  18104570880</w:t>
            </w:r>
            <w:r>
              <w:rPr>
                <w:sz w:val="13"/>
                <w:szCs w:val="13"/>
              </w:rPr>
              <w:t xml:space="preserve">                                 </w:t>
            </w:r>
            <w:r>
              <w:rPr>
                <w:b/>
                <w:bCs/>
                <w:spacing w:val="3"/>
                <w:sz w:val="13"/>
                <w:szCs w:val="13"/>
              </w:rPr>
              <w:t>审核人：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pacing w:val="3"/>
                <w:sz w:val="13"/>
                <w:szCs w:val="13"/>
                <w:lang w:val="en-US" w:eastAsia="zh-CN"/>
              </w:rPr>
              <w:t xml:space="preserve"> 王军 </w:t>
            </w:r>
            <w:r>
              <w:rPr>
                <w:spacing w:val="3"/>
                <w:sz w:val="13"/>
                <w:szCs w:val="13"/>
              </w:rPr>
              <w:t xml:space="preserve">                         </w:t>
            </w:r>
            <w:r>
              <w:rPr>
                <w:b/>
                <w:bCs/>
                <w:spacing w:val="3"/>
                <w:sz w:val="13"/>
                <w:szCs w:val="13"/>
              </w:rPr>
              <w:t>填报时间：</w:t>
            </w:r>
            <w:r>
              <w:rPr>
                <w:rFonts w:hint="eastAsia"/>
                <w:b/>
                <w:bCs/>
                <w:spacing w:val="3"/>
                <w:sz w:val="13"/>
                <w:szCs w:val="13"/>
                <w:lang w:val="en-US" w:eastAsia="zh-CN"/>
              </w:rPr>
              <w:t>2026年2月28日</w:t>
            </w:r>
          </w:p>
        </w:tc>
      </w:tr>
    </w:tbl>
    <w:p w14:paraId="18EB2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Times New Roman" w:hAnsi="Times New Roman" w:eastAsia="方正仿宋_GB2312"/>
          <w:sz w:val="32"/>
        </w:rPr>
        <w:sectPr>
          <w:pgSz w:w="11906" w:h="16838"/>
          <w:pgMar w:top="567" w:right="567" w:bottom="567" w:left="567" w:header="851" w:footer="992" w:gutter="0"/>
          <w:cols w:space="720" w:num="1"/>
          <w:docGrid w:type="lines" w:linePitch="312" w:charSpace="0"/>
        </w:sectPr>
      </w:pPr>
    </w:p>
    <w:p w14:paraId="3B4951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230421E-52F5-4A6B-B049-FFA2D1DA6151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2" w:fontKey="{436BF502-20C7-4220-94F2-856A13891206}"/>
  </w:font>
  <w:font w:name="汉仪细圆B5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C6FE0ACF-7EB4-46CD-8F92-945919F4F15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7A84DBB-CC29-4F1F-BB79-711E0FD351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B5DC1"/>
    <w:rsid w:val="210466A8"/>
    <w:rsid w:val="2AC90642"/>
    <w:rsid w:val="2BCE5BBC"/>
    <w:rsid w:val="51B62E70"/>
    <w:rsid w:val="565365DE"/>
    <w:rsid w:val="65323543"/>
    <w:rsid w:val="6B7B5DC1"/>
    <w:rsid w:val="70633DA2"/>
    <w:rsid w:val="7D5C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852</Words>
  <Characters>953</Characters>
  <Lines>0</Lines>
  <Paragraphs>0</Paragraphs>
  <TotalTime>0</TotalTime>
  <ScaleCrop>false</ScaleCrop>
  <LinksUpToDate>false</LinksUpToDate>
  <CharactersWithSpaces>1047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2026-02-28T07:19:00Z</dcterms:created>
  <dc:creator>举报一下打野</dc:creator>
  <cp:lastModifiedBy>举报一下打野</cp:lastModifiedBy>
  <dcterms:modified xsi:type="dcterms:W3CDTF">2026-03-23T06:44:24Z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B6995B57005E43CE9CC6796B4396FBD7_13</vt:lpwstr>
  </property>
  <property fmtid="{D5CDD505-2E9C-101B-9397-08002B2CF9AE}" pid="4" name="KSOTemplateDocerSaveRecord">
    <vt:lpwstr>eyJoZGlkIjoiMjYwYjZjNDM2MDkzMjY4MzlhNGY2MTQwOTdmNTllZTgiLCJ1c2VySWQiOiI1MDE5ODEyMDkifQ==</vt:lpwstr>
  </property>
</Properties>
</file>